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1-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南岗区经济运行情况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一、主要经济指标完成情况</w:t>
      </w:r>
    </w:p>
    <w:p>
      <w:p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（一）财政收支。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1-10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</w:rPr>
        <w:t>，南岗区完成一般公共预算收入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17.0</w:t>
      </w:r>
      <w:r>
        <w:rPr>
          <w:rFonts w:hint="eastAsia" w:ascii="仿宋_GB2312" w:hAnsi="仿宋_GB2312" w:eastAsia="仿宋_GB2312" w:cs="仿宋_GB2312"/>
          <w:sz w:val="34"/>
          <w:szCs w:val="34"/>
        </w:rPr>
        <w:t>亿元，同比增长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12.7</w:t>
      </w:r>
      <w:r>
        <w:rPr>
          <w:rFonts w:hint="eastAsia" w:ascii="仿宋_GB2312" w:hAnsi="仿宋_GB2312" w:eastAsia="仿宋_GB2312" w:cs="仿宋_GB2312"/>
          <w:sz w:val="34"/>
          <w:szCs w:val="34"/>
        </w:rPr>
        <w:t>%，增幅比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1-9</w:t>
      </w:r>
      <w:r>
        <w:rPr>
          <w:rFonts w:hint="default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</w:rPr>
        <w:t>份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7.3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个百分点，</w:t>
      </w:r>
      <w:r>
        <w:rPr>
          <w:rFonts w:hint="eastAsia" w:ascii="仿宋_GB2312" w:hAnsi="仿宋_GB2312" w:eastAsia="仿宋_GB2312" w:cs="仿宋_GB2312"/>
          <w:sz w:val="34"/>
          <w:szCs w:val="34"/>
        </w:rPr>
        <w:t>比全市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34"/>
          <w:szCs w:val="34"/>
        </w:rPr>
        <w:t>个百分点。总量占九区的1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4.4</w:t>
      </w:r>
      <w:r>
        <w:rPr>
          <w:rFonts w:hint="eastAsia" w:ascii="仿宋_GB2312" w:hAnsi="仿宋_GB2312" w:eastAsia="仿宋_GB2312" w:cs="仿宋_GB2312"/>
          <w:sz w:val="34"/>
          <w:szCs w:val="34"/>
        </w:rPr>
        <w:t>%，居九区第三位；增幅位列第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4"/>
          <w:szCs w:val="34"/>
        </w:rPr>
        <w:t>，比道里区高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sz w:val="34"/>
          <w:szCs w:val="34"/>
        </w:rPr>
        <w:t>个百分点。一般公共预算支出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39.7</w:t>
      </w:r>
      <w:r>
        <w:rPr>
          <w:rFonts w:hint="eastAsia" w:ascii="仿宋_GB2312" w:hAnsi="仿宋_GB2312" w:eastAsia="仿宋_GB2312" w:cs="仿宋_GB2312"/>
          <w:sz w:val="34"/>
          <w:szCs w:val="34"/>
        </w:rPr>
        <w:t>亿元，同比增长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6.2</w:t>
      </w:r>
      <w:r>
        <w:rPr>
          <w:rFonts w:hint="eastAsia" w:ascii="仿宋_GB2312" w:hAnsi="仿宋_GB2312" w:eastAsia="仿宋_GB2312" w:cs="仿宋_GB2312"/>
          <w:sz w:val="34"/>
          <w:szCs w:val="34"/>
        </w:rPr>
        <w:t>%。</w:t>
      </w:r>
    </w:p>
    <w:p>
      <w:p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（二）固定资产投资。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1-10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</w:rPr>
        <w:t>，南岗区完成固定资产投资同比增长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16.3</w:t>
      </w:r>
      <w:r>
        <w:rPr>
          <w:rFonts w:hint="eastAsia" w:ascii="仿宋_GB2312" w:hAnsi="仿宋_GB2312" w:eastAsia="仿宋_GB2312" w:cs="仿宋_GB2312"/>
          <w:sz w:val="34"/>
          <w:szCs w:val="34"/>
        </w:rPr>
        <w:t>％。增幅位列九区第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4"/>
          <w:szCs w:val="34"/>
        </w:rPr>
        <w:t>，主城区第一，比全市高9.3个百分点，比道里区高6.2个百分点。其中，基本建设完成投资占全区投资比重的26.1%；房地产本年完成投资占全区投资比重的73.9%，同比增长14.9%。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目前</w:t>
      </w:r>
      <w:r>
        <w:rPr>
          <w:rFonts w:hint="eastAsia" w:ascii="仿宋_GB2312" w:hAnsi="仿宋_GB2312" w:eastAsia="仿宋_GB2312" w:cs="仿宋_GB2312"/>
          <w:sz w:val="34"/>
          <w:szCs w:val="34"/>
        </w:rPr>
        <w:t>在库项目71个，其中政府投资项目30个，社会投资项目41个。</w:t>
      </w:r>
    </w:p>
    <w:p>
      <w:p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（三）规模以上工业。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1-10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根据市级反馈数据，</w:t>
      </w:r>
      <w:r>
        <w:rPr>
          <w:rFonts w:hint="eastAsia" w:ascii="仿宋_GB2312" w:hAnsi="仿宋_GB2312" w:eastAsia="仿宋_GB2312" w:cs="仿宋_GB2312"/>
          <w:sz w:val="34"/>
          <w:szCs w:val="34"/>
        </w:rPr>
        <w:t>南岗区域8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4"/>
          <w:szCs w:val="34"/>
        </w:rPr>
        <w:t>户规上工业实现增加值同比增长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  <w:lang w:val="en-U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%，增幅位列九区第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五，</w:t>
      </w:r>
      <w:r>
        <w:rPr>
          <w:rFonts w:hint="eastAsia" w:ascii="仿宋_GB2312" w:hAnsi="仿宋_GB2312" w:eastAsia="仿宋_GB2312" w:cs="仿宋_GB2312"/>
          <w:sz w:val="34"/>
          <w:szCs w:val="34"/>
        </w:rPr>
        <w:t>比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1-9</w:t>
      </w:r>
      <w:r>
        <w:rPr>
          <w:rFonts w:hint="default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</w:rPr>
        <w:t>份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低0.9</w:t>
      </w:r>
      <w:r>
        <w:rPr>
          <w:rFonts w:hint="eastAsia" w:ascii="仿宋_GB2312" w:hAnsi="仿宋_GB2312" w:eastAsia="仿宋_GB2312" w:cs="仿宋_GB2312"/>
          <w:sz w:val="34"/>
          <w:szCs w:val="34"/>
        </w:rPr>
        <w:t>个百分点，比全市低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4"/>
          <w:szCs w:val="34"/>
          <w:lang w:val="en-U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个百分点。（最终反馈数据仅有增速，无增加值</w:t>
      </w:r>
      <w:r>
        <w:rPr>
          <w:rFonts w:hint="eastAsia" w:ascii="仿宋_GB2312" w:hAnsi="仿宋_GB2312" w:eastAsia="仿宋_GB2312" w:cs="仿宋_GB2312"/>
          <w:sz w:val="34"/>
          <w:szCs w:val="34"/>
          <w:lang w:val="en-US"/>
        </w:rPr>
        <w:t>总量</w:t>
      </w:r>
      <w:r>
        <w:rPr>
          <w:rFonts w:hint="eastAsia" w:ascii="仿宋_GB2312" w:hAnsi="仿宋_GB2312" w:eastAsia="仿宋_GB2312" w:cs="仿宋_GB2312"/>
          <w:sz w:val="34"/>
          <w:szCs w:val="34"/>
        </w:rPr>
        <w:t>。）</w:t>
      </w:r>
    </w:p>
    <w:p>
      <w:pPr>
        <w:numPr>
          <w:ilvl w:val="0"/>
          <w:numId w:val="0"/>
        </w:num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社会消费品零售总额。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1-10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南岗区实现（全口径）社会消费品零售总额同比增长10.2%，总量占全市的25.4%，增幅比全市低1.5个百分点，列全市第7名。184户区属限额以上贸易业企业（法人+产业活动单位）实现零售额同比增长2.9%。其中，批发零售企业实现零售额同比增长2.7%；住宿餐饮企业实现零售额同比增长31.4%。   </w:t>
      </w:r>
    </w:p>
    <w:p>
      <w:pPr>
        <w:numPr>
          <w:ilvl w:val="0"/>
          <w:numId w:val="0"/>
        </w:num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（五）服务业。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1-9</w:t>
      </w:r>
      <w:r>
        <w:rPr>
          <w:rFonts w:hint="default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南岗区属规模以上服务业15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</w:rPr>
        <w:t>户企业共实现营业收入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381.6亿元，同比增长14.5</w:t>
      </w:r>
      <w:r>
        <w:rPr>
          <w:rFonts w:hint="eastAsia" w:ascii="仿宋_GB2312" w:hAnsi="仿宋_GB2312" w:eastAsia="仿宋_GB2312" w:cs="仿宋_GB2312"/>
          <w:sz w:val="34"/>
          <w:szCs w:val="34"/>
        </w:rPr>
        <w:t>%，比1-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低0.8</w:t>
      </w:r>
      <w:r>
        <w:rPr>
          <w:rFonts w:hint="eastAsia" w:ascii="仿宋_GB2312" w:hAnsi="仿宋_GB2312" w:eastAsia="仿宋_GB2312" w:cs="仿宋_GB2312"/>
          <w:sz w:val="34"/>
          <w:szCs w:val="34"/>
        </w:rPr>
        <w:t>个百分点。其中，纳入GDP核算的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96户</w:t>
      </w:r>
      <w:r>
        <w:rPr>
          <w:rFonts w:hint="eastAsia" w:ascii="仿宋_GB2312" w:hAnsi="仿宋_GB2312" w:eastAsia="仿宋_GB2312" w:cs="仿宋_GB2312"/>
          <w:sz w:val="34"/>
          <w:szCs w:val="34"/>
        </w:rPr>
        <w:t>其他营利性服务业（包含互联网和相关服务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</w:rPr>
        <w:t>软件和信息技术服务业，租赁和商务服务业，科学研究和技术服务业，居民服务、修理和其他服务业，文化体育和娱乐业</w:t>
      </w:r>
      <w:r>
        <w:rPr>
          <w:rFonts w:hint="default" w:ascii="仿宋_GB2312" w:hAnsi="仿宋_GB2312" w:eastAsia="仿宋_GB2312" w:cs="仿宋_GB2312"/>
          <w:sz w:val="34"/>
          <w:szCs w:val="34"/>
        </w:rPr>
        <w:t>）</w:t>
      </w:r>
      <w:r>
        <w:rPr>
          <w:rFonts w:hint="eastAsia" w:ascii="仿宋_GB2312" w:hAnsi="仿宋_GB2312" w:eastAsia="仿宋_GB2312" w:cs="仿宋_GB2312"/>
          <w:sz w:val="34"/>
          <w:szCs w:val="34"/>
        </w:rPr>
        <w:t>共实现营业收入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28.5亿元，</w:t>
      </w:r>
      <w:r>
        <w:rPr>
          <w:rFonts w:hint="eastAsia" w:ascii="仿宋_GB2312" w:hAnsi="仿宋_GB2312" w:eastAsia="仿宋_GB2312" w:cs="仿宋_GB2312"/>
          <w:sz w:val="34"/>
          <w:szCs w:val="34"/>
        </w:rPr>
        <w:t>同比增长1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sz w:val="34"/>
          <w:szCs w:val="34"/>
        </w:rPr>
        <w:t>%，比1-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个百分点；占南岗区属规模以上服务业总营业收入的7.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%。</w:t>
      </w:r>
    </w:p>
    <w:p>
      <w:p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</w:rPr>
        <w:t>（六）科技孵化器及产业园情况。</w:t>
      </w:r>
      <w:r>
        <w:rPr>
          <w:rFonts w:hint="eastAsia" w:ascii="仿宋_GB2312" w:hAnsi="仿宋_GB2312" w:eastAsia="仿宋_GB2312" w:cs="仿宋_GB2312"/>
          <w:sz w:val="34"/>
          <w:szCs w:val="34"/>
        </w:rPr>
        <w:t>截止2021年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4"/>
          <w:szCs w:val="34"/>
        </w:rPr>
        <w:t>月底，南岗区共有孵化器65个，在孵企业1736个（含虚拟孵化）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</w:rPr>
        <w:t>在孵企业1-10月实现总收入88108万元，同比增长13%；净利润5325万元，同比增长5%；实缴税金3750万元，同比增长26%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</w:rPr>
        <w:t>（以上数据为孵化器内注册在南岗区企业的统计数据）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南岗高科技产业园总户数131户，其中孵化园8户，工业小区11户，购地建厂12户，云入住100户。2021年1-10月总营业收入59142.2万元，纳税4489.</w:t>
      </w:r>
      <w:r>
        <w:rPr>
          <w:rFonts w:hint="default" w:ascii="仿宋_GB2312" w:hAnsi="仿宋_GB2312" w:eastAsia="仿宋_GB2312" w:cs="仿宋_GB2312"/>
          <w:color w:val="000000"/>
          <w:sz w:val="34"/>
          <w:szCs w:val="34"/>
          <w:lang w:val="en-US"/>
        </w:rPr>
        <w:t>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万元。</w:t>
      </w:r>
    </w:p>
    <w:p>
      <w:pPr>
        <w:spacing w:line="600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（科技企业情况由工科局提供。）</w:t>
      </w:r>
    </w:p>
    <w:p>
      <w:pPr>
        <w:spacing w:line="600" w:lineRule="exact"/>
        <w:ind w:firstLine="680" w:firstLineChars="200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二、亿元以上单位运行情况</w:t>
      </w:r>
    </w:p>
    <w:p>
      <w:pPr>
        <w:spacing w:line="600" w:lineRule="exact"/>
        <w:ind w:firstLine="683" w:firstLineChars="200"/>
        <w:rPr>
          <w:rFonts w:hint="eastAsia" w:ascii="宋体" w:hAnsi="宋体" w:eastAsia="宋体" w:cs="宋体"/>
          <w:b/>
          <w:bCs/>
          <w:sz w:val="34"/>
          <w:szCs w:val="34"/>
          <w:lang w:eastAsia="zh-CN"/>
        </w:rPr>
      </w:pPr>
      <w:r>
        <w:rPr>
          <w:rFonts w:hint="eastAsia" w:ascii="宋体" w:hAnsi="宋体" w:eastAsia="宋体" w:cs="宋体"/>
          <w:b/>
          <w:bCs/>
          <w:sz w:val="34"/>
          <w:szCs w:val="34"/>
        </w:rPr>
        <w:t>（一）</w:t>
      </w:r>
      <w:r>
        <w:rPr>
          <w:rFonts w:hint="eastAsia" w:ascii="宋体" w:hAnsi="宋体" w:eastAsia="宋体" w:cs="宋体"/>
          <w:b/>
          <w:bCs/>
          <w:sz w:val="34"/>
          <w:szCs w:val="34"/>
          <w:lang w:eastAsia="zh-CN"/>
        </w:rPr>
        <w:t>工业</w:t>
      </w:r>
    </w:p>
    <w:p>
      <w:pPr>
        <w:spacing w:line="600" w:lineRule="exact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1-10月份，区属57户规模以上工业企业中，累计完成产值超过亿元的企业有8户，累计完成产值25.2亿元，同比增长15.4%，占区属完成产值的62.7%。</w:t>
      </w:r>
    </w:p>
    <w:p>
      <w:pPr>
        <w:spacing w:line="600" w:lineRule="exact"/>
        <w:ind w:firstLine="683" w:firstLineChars="200"/>
        <w:rPr>
          <w:rFonts w:hint="eastAsia" w:ascii="宋体" w:hAnsi="宋体" w:eastAsia="宋体" w:cs="宋体"/>
          <w:b/>
          <w:bCs/>
          <w:sz w:val="34"/>
          <w:szCs w:val="34"/>
          <w:lang w:eastAsia="zh-CN"/>
        </w:rPr>
      </w:pPr>
      <w:r>
        <w:rPr>
          <w:rFonts w:hint="eastAsia" w:ascii="宋体" w:hAnsi="宋体" w:eastAsia="宋体" w:cs="宋体"/>
          <w:b/>
          <w:bCs/>
          <w:sz w:val="34"/>
          <w:szCs w:val="34"/>
          <w:lang w:eastAsia="zh-CN"/>
        </w:rPr>
        <w:t>（二）贸易业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1-10月份，区属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184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户限额以上贸易企业中，累计实现零售额超过亿元的企业有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户，累计实现零售额共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83.6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亿元，同比增长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%，占区属限上贸易企业的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86.0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%。其中，超过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10亿元的有2户，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累计实现零售额共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30.1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亿元，同比增长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11.2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%，占区属限上贸易企业的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31.0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%。</w:t>
      </w:r>
    </w:p>
    <w:p>
      <w:pPr>
        <w:numPr>
          <w:ilvl w:val="0"/>
          <w:numId w:val="1"/>
        </w:numPr>
        <w:spacing w:line="600" w:lineRule="exact"/>
        <w:ind w:firstLine="680" w:firstLineChars="200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遇到的问题</w:t>
      </w:r>
    </w:p>
    <w:p>
      <w:pPr>
        <w:pStyle w:val="2"/>
        <w:numPr>
          <w:ilvl w:val="0"/>
          <w:numId w:val="0"/>
        </w:numPr>
        <w:ind w:firstLine="683" w:firstLineChars="200"/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4"/>
          <w:szCs w:val="34"/>
          <w:lang w:val="en-US" w:eastAsia="zh-CN" w:bidi="ar-SA"/>
        </w:rPr>
        <w:t>一是，目前没有针对疫情期间的有效稳企措施。</w:t>
      </w: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一旦疫情来临，大部分第三产业企业响应政府号召暂停营业，营业收入将遭受重大影响，其中住宿餐饮业和娱乐业受创最严重。例如，近两个月，受全市疫情影响，公共场所聚集、旅游、娱乐、聚餐等活动减少，外来住宿人员减少，且旅行社受市场供求关系，部分企业已停业，整体业务量减少,营业收入下降明显，虽然目前服务业和贸易业增速仍为正向增长，但增长相当乏力，无法对GDP起到较好的拉动作用。</w:t>
      </w:r>
    </w:p>
    <w:p>
      <w:pPr>
        <w:pStyle w:val="2"/>
        <w:numPr>
          <w:ilvl w:val="0"/>
          <w:numId w:val="0"/>
        </w:numPr>
        <w:ind w:firstLine="683" w:firstLineChars="200"/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4"/>
          <w:szCs w:val="34"/>
          <w:lang w:val="en-US" w:eastAsia="zh-CN" w:bidi="ar-SA"/>
        </w:rPr>
        <w:t>二是，教育行业正在面临转型。</w:t>
      </w: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受国家宏观政策影响，线下教育机构大批量停业、倒闭，导致教育行业市场萧条,部分用“工资总额”进行核算的教育业单位招生受限，导致员工工资下降，造成教育业指标下降。例如：差额拨款、自筹的事业单位、课外教培机构等。</w:t>
      </w:r>
    </w:p>
    <w:p>
      <w:pPr>
        <w:ind w:firstLine="683" w:firstLineChars="200"/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4"/>
          <w:szCs w:val="34"/>
          <w:lang w:val="en-US" w:eastAsia="zh-CN" w:bidi="ar-SA"/>
        </w:rPr>
        <w:t>三是，第二产业比例过小。</w:t>
      </w: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我区是主城区，建厂空间受限，导致第二产业占比较小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，无法通过提高二产增速大幅度拉动GDP。且规模以上工业中，经开区企业占南岗区全区比重和区属占比不相上下，经开区负增长对南岗区整体规上工业影响很大且数据不可控，对南岗区工业运行造成较大困难。同时，本年度区属工业企业有三户搬迁至外区，其中哈尔滨宇龙自动化有限公司和罗克韦尔自动化控制集成（哈尔滨）有限公司（均为产值超亿元单位）已搬迁至平房区，哈尔滨市金恒包装有限公司搬迁至香坊区，造成我区企业流失，或对二产增速造成一定影响。</w:t>
      </w:r>
    </w:p>
    <w:p>
      <w:pPr>
        <w:spacing w:line="600" w:lineRule="exact"/>
        <w:ind w:firstLine="680" w:firstLineChars="200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四</w:t>
      </w:r>
      <w:r>
        <w:rPr>
          <w:rFonts w:hint="eastAsia" w:ascii="黑体" w:hAnsi="黑体" w:eastAsia="黑体" w:cs="黑体"/>
          <w:sz w:val="34"/>
          <w:szCs w:val="34"/>
        </w:rPr>
        <w:t>、下一步工作建议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在抓好经济运行监测分析、把关数据审</w:t>
      </w:r>
      <w:r>
        <w:rPr>
          <w:rFonts w:hint="eastAsia" w:ascii="仿宋_GB2312" w:hAnsi="仿宋_GB2312" w:eastAsia="仿宋_GB2312" w:cs="仿宋_GB2312"/>
          <w:sz w:val="34"/>
          <w:szCs w:val="34"/>
          <w:lang w:val="en-US"/>
        </w:rPr>
        <w:t>核</w:t>
      </w:r>
      <w:r>
        <w:rPr>
          <w:rFonts w:hint="default" w:ascii="仿宋_GB2312" w:hAnsi="仿宋_GB2312" w:eastAsia="仿宋_GB2312" w:cs="仿宋_GB2312"/>
          <w:sz w:val="34"/>
          <w:szCs w:val="34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</w:rPr>
        <w:t>保证报表质量等统计日常工作的同时，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建议</w:t>
      </w:r>
      <w:r>
        <w:rPr>
          <w:rFonts w:hint="eastAsia" w:ascii="仿宋_GB2312" w:hAnsi="仿宋_GB2312" w:eastAsia="仿宋_GB2312" w:cs="仿宋_GB2312"/>
          <w:sz w:val="34"/>
          <w:szCs w:val="34"/>
        </w:rPr>
        <w:t>重点关注以下几点：</w:t>
      </w:r>
    </w:p>
    <w:p>
      <w:pPr>
        <w:numPr>
          <w:ilvl w:val="0"/>
          <w:numId w:val="0"/>
        </w:num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eastAsia="zh-CN"/>
        </w:rPr>
        <w:t>（一）制定有效稳企政策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eastAsia="zh-CN"/>
        </w:rPr>
        <w:t>一是，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</w:rPr>
        <w:t>建议区商务局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eastAsia="zh-CN"/>
        </w:rPr>
        <w:t>、工科局等行业主管部门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</w:rPr>
        <w:t>给予重点企业利好政策，优化营商环境，稳定大体量、增长好的企业落户南岗区经营，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eastAsia="zh-CN"/>
        </w:rPr>
        <w:t>在扶持、鼓励企业经营发展的同时，也能保存住现有的企业规模和数量，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</w:rPr>
        <w:t>避免重点企业迁移至他区，造成南岗区指标损失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eastAsia="zh-CN"/>
        </w:rPr>
        <w:t>。二是，新冠疫情逐步进入常态化阶段，建议行业主管部门及时建立针对疫情期间的稳企政策，能够尽快消除疫情突然爆发带来的不利影响。</w:t>
      </w:r>
    </w:p>
    <w:p>
      <w:pPr>
        <w:numPr>
          <w:ilvl w:val="0"/>
          <w:numId w:val="0"/>
        </w:numPr>
        <w:spacing w:line="600" w:lineRule="exact"/>
        <w:ind w:firstLine="683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（二）抓好重点项目建设。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一是抓好固投重点项目，注重重点项目发展，加强监测，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/>
        </w:rPr>
        <w:t>特别是中海云麓公馆、金地、凯盛源等持续增长的项目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/>
        </w:rPr>
        <w:t>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加强跟踪调度，加大综合协调力度，确保开工项目完成建设目标，进一步加快项目建设的步伐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/>
        </w:rPr>
        <w:t>促进固投加速增长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二是抓好工业、贸易、服务业等行业重点企业扶植，以大企业带动大发展，以好项目支撑转型发展，增强各行业发展后劲。</w:t>
      </w:r>
    </w:p>
    <w:p>
      <w:pPr>
        <w:numPr>
          <w:ilvl w:val="0"/>
          <w:numId w:val="0"/>
        </w:num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（三）优化产业和行业结构。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一是产业投资结构。目前投资主要集中在房地产行业，建议进一步优化投资结构，逐步改变以房地产投资为主的投资结构，加大招商引资力度，积极储备一批重大项目，引导和推动社会资金投向现代产业、战略性新兴产业和高新技术产业项目。二是服务业行业结构。目前服务业中，参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GDP核算的企业营业收入占比仅为7%左右，企业规模普遍偏小，建议进一步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壮大服务业市场主体，大力扶植参与核算的行业，整合资源发展壮大，改善服务业行业分布不均的问题。</w:t>
      </w:r>
    </w:p>
    <w:p>
      <w:pPr>
        <w:pStyle w:val="2"/>
        <w:ind w:firstLine="683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（四）及时申报入库和退库。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年度入库和退库工作已经开始，第一批审核预计在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11月26日截止。一是入库方面。由行业主管部门牵头，会同市场监管、税务、公安等部门，依托各街道办事处，在全区范围内大力动员达规企业入统，由区统计局负责入统材料审核和及时申报，确保不落一户，应统尽统。二是退库方面。由统计局把关，根据统计制度将停业、收入不达标、行业变更等符合退库条件的企业及时退出统计名录库，保证在库企业质量，优化统计范围。</w:t>
      </w:r>
    </w:p>
    <w:sectPr>
      <w:footerReference r:id="rId3" w:type="default"/>
      <w:pgSz w:w="11906" w:h="16838"/>
      <w:pgMar w:top="1701" w:right="1418" w:bottom="1701" w:left="1418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920AE"/>
    <w:rsid w:val="5F2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3243</Words>
  <Characters>3720</Characters>
  <Paragraphs>125</Paragraphs>
  <TotalTime>47</TotalTime>
  <ScaleCrop>false</ScaleCrop>
  <LinksUpToDate>false</LinksUpToDate>
  <CharactersWithSpaces>3725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2021-08-15T01:49:00Z</dcterms:created>
  <dc:creator>王欣然</dc:creator>
  <cp:lastModifiedBy>Administrator</cp:lastModifiedBy>
  <cp:lastPrinted>2021-08-15T01:29:00Z</cp:lastPrinted>
  <dcterms:modified xsi:type="dcterms:W3CDTF">2021-12-01T00:46:15Z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1207920757_stopsync</vt:lpwstr>
  </property>
  <property fmtid="{D5CDD505-2E9C-101B-9397-08002B2CF9AE}" pid="4" name="ICV">
    <vt:lpwstr>931dfc9403be4cebbdb1191548b93ad1</vt:lpwstr>
  </property>
</Properties>
</file>