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Style w:val="11"/>
          <w:rFonts w:ascii="方正小标宋_GBK" w:hAnsi="方正小标宋_GBK" w:eastAsia="方正小标宋_GBK"/>
          <w:sz w:val="44"/>
          <w:szCs w:val="44"/>
        </w:rPr>
      </w:pPr>
    </w:p>
    <w:p>
      <w:pPr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rStyle w:val="11"/>
          <w:rFonts w:ascii="方正小标宋_GBK" w:hAnsi="方正小标宋_GBK" w:eastAsia="方正小标宋_GBK"/>
          <w:sz w:val="44"/>
          <w:szCs w:val="44"/>
        </w:rPr>
        <w:t>南岗区1-7月经济运行情况分析</w:t>
      </w:r>
    </w:p>
    <w:p>
      <w:pPr>
        <w:pStyle w:val="2"/>
        <w:rPr>
          <w:rStyle w:val="11"/>
        </w:rPr>
      </w:pPr>
    </w:p>
    <w:p>
      <w:pPr>
        <w:pStyle w:val="2"/>
        <w:rPr>
          <w:rStyle w:val="11"/>
        </w:rPr>
      </w:pPr>
    </w:p>
    <w:p>
      <w:pPr>
        <w:ind w:firstLine="640" w:firstLineChars="200"/>
        <w:rPr>
          <w:rStyle w:val="11"/>
          <w:rFonts w:ascii="黑体" w:hAnsi="黑体" w:eastAsia="黑体"/>
          <w:sz w:val="32"/>
          <w:szCs w:val="32"/>
        </w:rPr>
      </w:pPr>
      <w:r>
        <w:rPr>
          <w:rStyle w:val="11"/>
          <w:rFonts w:ascii="黑体" w:hAnsi="黑体" w:eastAsia="黑体"/>
          <w:sz w:val="32"/>
          <w:szCs w:val="32"/>
        </w:rPr>
        <w:t>一、主要经济指标完成情况</w:t>
      </w:r>
    </w:p>
    <w:p>
      <w:pPr>
        <w:widowControl w:val="0"/>
        <w:numPr>
          <w:ilvl w:val="0"/>
          <w:numId w:val="1"/>
        </w:numPr>
        <w:spacing w:line="700" w:lineRule="exact"/>
        <w:ind w:firstLine="640" w:firstLineChars="200"/>
        <w:textAlignment w:val="auto"/>
        <w:rPr>
          <w:rStyle w:val="11"/>
        </w:rPr>
      </w:pPr>
      <w:r>
        <w:rPr>
          <w:rStyle w:val="11"/>
          <w:rFonts w:ascii="楷体_GB2312" w:hAnsi="楷体_GB2312" w:eastAsia="楷体_GB2312" w:cs="楷体_GB2312"/>
          <w:b w:val="0"/>
          <w:bCs w:val="0"/>
          <w:sz w:val="32"/>
          <w:szCs w:val="32"/>
        </w:rPr>
        <w:t>财政收支</w:t>
      </w:r>
      <w:r>
        <w:rPr>
          <w:rStyle w:val="11"/>
          <w:rFonts w:ascii="楷体" w:hAnsi="楷体" w:eastAsia="楷体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1-7月，南岗区一般公共预算收入完成5.3亿元，同比下降58.2%。扣除国家今年新出台的增值税留抵退税因素后，全区一般公共预算收入完成8.8亿元，同比下降30.2%。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全区一般公共预算支出完成26.4亿元，同比增长9.3%，其中：区本级支出完成21.2亿元，同比增长6.1%。</w:t>
      </w:r>
    </w:p>
    <w:p>
      <w:pPr>
        <w:pStyle w:val="2"/>
        <w:jc w:val="center"/>
        <w:rPr>
          <w:rStyle w:val="11"/>
        </w:rPr>
      </w:pPr>
      <w:r>
        <w:rPr>
          <w:rStyle w:val="11"/>
        </w:rPr>
        <w:drawing>
          <wp:inline distT="0" distB="0" distL="114300" distR="114300">
            <wp:extent cx="3916680" cy="21107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00" w:lineRule="exact"/>
        <w:ind w:firstLine="640" w:firstLineChars="200"/>
        <w:rPr>
          <w:rStyle w:val="11"/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Style w:val="11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（二）固定资产投资。</w:t>
      </w:r>
      <w:r>
        <w:rPr>
          <w:rStyle w:val="11"/>
          <w:rFonts w:ascii="仿宋" w:hAnsi="仿宋" w:eastAsia="仿宋" w:cs="仿宋"/>
          <w:bCs/>
          <w:sz w:val="32"/>
          <w:szCs w:val="32"/>
        </w:rPr>
        <w:t>1-7月，南岗区固定资产投资同比下降0.9％，</w:t>
      </w:r>
      <w:r>
        <w:rPr>
          <w:rStyle w:val="11"/>
          <w:rFonts w:ascii="仿宋" w:hAnsi="仿宋" w:eastAsia="仿宋"/>
          <w:sz w:val="32"/>
          <w:szCs w:val="32"/>
        </w:rPr>
        <w:t>增幅位列九区第六，主城区第二</w:t>
      </w:r>
      <w:r>
        <w:rPr>
          <w:rStyle w:val="11"/>
          <w:rFonts w:ascii="仿宋" w:hAnsi="仿宋" w:eastAsia="仿宋"/>
          <w:color w:val="000000"/>
          <w:sz w:val="32"/>
          <w:szCs w:val="32"/>
        </w:rPr>
        <w:t>，比全市高12.3个百分点，比道里区高18.7个百分点</w:t>
      </w:r>
      <w:r>
        <w:rPr>
          <w:rStyle w:val="11"/>
          <w:rFonts w:ascii="仿宋" w:hAnsi="仿宋" w:eastAsia="仿宋" w:cs="仿宋"/>
          <w:bCs/>
          <w:color w:val="000000"/>
          <w:sz w:val="32"/>
          <w:szCs w:val="32"/>
        </w:rPr>
        <w:t>。其中，基本建设占全区投资比重的16.4</w:t>
      </w:r>
      <w:r>
        <w:rPr>
          <w:rStyle w:val="11"/>
          <w:rFonts w:ascii="仿宋" w:hAnsi="仿宋" w:eastAsia="仿宋" w:cs="仿宋"/>
          <w:bCs/>
          <w:sz w:val="32"/>
          <w:szCs w:val="32"/>
        </w:rPr>
        <w:t>%</w:t>
      </w:r>
      <w:r>
        <w:rPr>
          <w:rStyle w:val="11"/>
          <w:rFonts w:hint="eastAsia" w:ascii="仿宋" w:hAnsi="仿宋" w:eastAsia="仿宋" w:cs="仿宋"/>
          <w:bCs/>
          <w:sz w:val="32"/>
          <w:szCs w:val="32"/>
        </w:rPr>
        <w:t>,同比下降34.9%</w:t>
      </w:r>
      <w:r>
        <w:rPr>
          <w:rStyle w:val="11"/>
          <w:rFonts w:ascii="仿宋" w:hAnsi="仿宋" w:eastAsia="仿宋" w:cs="仿宋"/>
          <w:bCs/>
          <w:sz w:val="32"/>
          <w:szCs w:val="32"/>
        </w:rPr>
        <w:t>；</w:t>
      </w:r>
      <w:r>
        <w:rPr>
          <w:rStyle w:val="11"/>
          <w:rFonts w:ascii="仿宋" w:hAnsi="仿宋" w:eastAsia="仿宋" w:cs="仿宋"/>
          <w:bCs/>
          <w:color w:val="000000"/>
          <w:sz w:val="32"/>
          <w:szCs w:val="32"/>
        </w:rPr>
        <w:t>房地产占全区投资比重的83.6%，同比增长10.6%。目前在库项目118个，其中政府投资项目21个,社会投资项目97个。</w:t>
      </w:r>
    </w:p>
    <w:p>
      <w:pPr>
        <w:pStyle w:val="2"/>
        <w:jc w:val="center"/>
        <w:rPr>
          <w:rStyle w:val="11"/>
        </w:rPr>
      </w:pPr>
      <w:r>
        <w:rPr>
          <w:rStyle w:val="11"/>
        </w:rPr>
        <w:drawing>
          <wp:inline distT="0" distB="0" distL="114300" distR="114300">
            <wp:extent cx="3909060" cy="2270760"/>
            <wp:effectExtent l="0" t="0" r="152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700" w:lineRule="exact"/>
        <w:ind w:firstLine="640" w:firstLineChars="200"/>
        <w:rPr>
          <w:rStyle w:val="11"/>
          <w:rFonts w:ascii="仿宋" w:hAnsi="仿宋" w:eastAsia="仿宋"/>
          <w:sz w:val="32"/>
          <w:szCs w:val="32"/>
        </w:rPr>
      </w:pPr>
      <w:r>
        <w:rPr>
          <w:rStyle w:val="11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Style w:val="11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规模以上工业。</w:t>
      </w:r>
      <w:r>
        <w:rPr>
          <w:rFonts w:hint="eastAsia" w:ascii="仿宋" w:hAnsi="仿宋" w:eastAsia="仿宋" w:cs="仿宋"/>
          <w:sz w:val="32"/>
          <w:szCs w:val="32"/>
        </w:rPr>
        <w:t>1-7月，南岗区区域85户规上工业同比下降2.2%，增幅比一季度下降8.7个百分点，比上半年收窄1.7个百分点，位列九区第七，主城区第二，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</w:t>
      </w:r>
      <w:r>
        <w:rPr>
          <w:rFonts w:hint="eastAsia" w:ascii="仿宋" w:hAnsi="仿宋" w:eastAsia="仿宋" w:cs="仿宋"/>
          <w:sz w:val="32"/>
          <w:szCs w:val="32"/>
        </w:rPr>
        <w:t>全市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低</w:t>
      </w:r>
      <w:r>
        <w:rPr>
          <w:rFonts w:hint="eastAsia" w:ascii="仿宋" w:hAnsi="仿宋" w:eastAsia="仿宋" w:cs="仿宋"/>
          <w:sz w:val="32"/>
          <w:szCs w:val="32"/>
        </w:rPr>
        <w:t>4.9个百分点，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</w:t>
      </w:r>
      <w:r>
        <w:rPr>
          <w:rFonts w:hint="eastAsia" w:ascii="仿宋" w:hAnsi="仿宋" w:eastAsia="仿宋" w:cs="仿宋"/>
          <w:sz w:val="32"/>
          <w:szCs w:val="32"/>
        </w:rPr>
        <w:t>道里区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4.9个百分点。其中，区属工业同比增长3.6%，拉动南岗区规上工业增长2.1个百分点；经开区同比下降9.4%，影响南岗区规上工业下降4个百分点；区域其他规上工业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同比下降15.5%，影响南岗区规上工业下降0.3个百分点。</w:t>
      </w:r>
    </w:p>
    <w:p>
      <w:pPr>
        <w:pStyle w:val="2"/>
        <w:jc w:val="center"/>
        <w:rPr>
          <w:rStyle w:val="11"/>
          <w:rFonts w:ascii="仿宋" w:hAnsi="仿宋" w:eastAsia="仿宋"/>
          <w:sz w:val="32"/>
          <w:szCs w:val="32"/>
        </w:rPr>
      </w:pPr>
      <w:r>
        <w:rPr>
          <w:rStyle w:val="11"/>
        </w:rPr>
        <w:drawing>
          <wp:inline distT="0" distB="0" distL="114300" distR="114300">
            <wp:extent cx="3886200" cy="22783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700" w:lineRule="exact"/>
        <w:ind w:leftChars="200" w:firstLine="640" w:firstLineChars="200"/>
        <w:jc w:val="both"/>
        <w:textAlignment w:val="baseline"/>
        <w:rPr>
          <w:rStyle w:val="11"/>
          <w:rFonts w:ascii="仿宋" w:hAnsi="仿宋" w:eastAsia="仿宋"/>
          <w:sz w:val="32"/>
          <w:szCs w:val="32"/>
        </w:rPr>
      </w:pPr>
      <w:r>
        <w:rPr>
          <w:rStyle w:val="11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</w:t>
      </w:r>
      <w:r>
        <w:rPr>
          <w:rStyle w:val="11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社会消费品零售总额。</w:t>
      </w:r>
      <w:r>
        <w:rPr>
          <w:rStyle w:val="11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1-7月，南岗区实现社会消费品零售总额339.1亿元，同比下降4.3%，增幅位列九区第六</w:t>
      </w:r>
      <w:r>
        <w:rPr>
          <w:rStyle w:val="1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，主城区第三，比全市高1.3个百分点，比道里区高6个百分点</w:t>
      </w:r>
      <w:r>
        <w:rPr>
          <w:rStyle w:val="11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。264户区属限额以上贸易业单位实现零售额65.3亿元，同比下降13.1%。其中，159户批发零售业单位累计实现零售额63.8亿元，同比下降13.2%；105户住宿餐饮业单位累计零售额1.5亿元，同比下降5.3%。</w:t>
      </w:r>
    </w:p>
    <w:p>
      <w:pPr>
        <w:pStyle w:val="2"/>
        <w:jc w:val="center"/>
        <w:rPr>
          <w:rStyle w:val="11"/>
        </w:rPr>
      </w:pPr>
      <w:r>
        <w:rPr>
          <w:rStyle w:val="11"/>
        </w:rPr>
        <w:drawing>
          <wp:inline distT="0" distB="0" distL="114300" distR="114300">
            <wp:extent cx="4236720" cy="2598420"/>
            <wp:effectExtent l="0" t="0" r="1143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700" w:lineRule="exact"/>
        <w:ind w:firstLine="640" w:firstLineChars="200"/>
        <w:rPr>
          <w:rStyle w:val="11"/>
          <w:rFonts w:ascii="仿宋" w:hAnsi="仿宋" w:eastAsia="仿宋"/>
          <w:sz w:val="32"/>
          <w:szCs w:val="32"/>
        </w:rPr>
      </w:pPr>
      <w:r>
        <w:rPr>
          <w:rStyle w:val="11"/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（五）</w:t>
      </w:r>
      <w:r>
        <w:rPr>
          <w:rStyle w:val="11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服务业。</w:t>
      </w:r>
      <w:r>
        <w:rPr>
          <w:rStyle w:val="11"/>
          <w:rFonts w:ascii="仿宋" w:hAnsi="仿宋" w:eastAsia="仿宋"/>
          <w:sz w:val="32"/>
          <w:szCs w:val="32"/>
        </w:rPr>
        <w:t>1-6月，全区156家规模以上服务业企业实现营业收入261.6亿元，同比增长2.</w:t>
      </w:r>
      <w:r>
        <w:rPr>
          <w:rStyle w:val="11"/>
          <w:rFonts w:hint="eastAsia" w:ascii="仿宋" w:hAnsi="仿宋" w:eastAsia="仿宋"/>
          <w:sz w:val="32"/>
          <w:szCs w:val="32"/>
        </w:rPr>
        <w:t>1</w:t>
      </w:r>
      <w:r>
        <w:rPr>
          <w:rStyle w:val="11"/>
          <w:rFonts w:ascii="仿宋" w:hAnsi="仿宋" w:eastAsia="仿宋"/>
          <w:sz w:val="32"/>
          <w:szCs w:val="32"/>
        </w:rPr>
        <w:t>%</w:t>
      </w:r>
      <w:r>
        <w:rPr>
          <w:rStyle w:val="11"/>
          <w:rFonts w:hint="eastAsia" w:ascii="仿宋" w:hAnsi="仿宋" w:eastAsia="仿宋"/>
          <w:sz w:val="32"/>
          <w:szCs w:val="32"/>
        </w:rPr>
        <w:t>，其中，87家</w:t>
      </w:r>
      <w:r>
        <w:rPr>
          <w:rStyle w:val="11"/>
          <w:rFonts w:ascii="仿宋" w:hAnsi="仿宋" w:eastAsia="仿宋"/>
          <w:sz w:val="32"/>
          <w:szCs w:val="32"/>
        </w:rPr>
        <w:t>营利性</w:t>
      </w:r>
      <w:r>
        <w:rPr>
          <w:rStyle w:val="11"/>
          <w:rFonts w:hint="eastAsia" w:ascii="仿宋" w:hAnsi="仿宋" w:eastAsia="仿宋"/>
          <w:sz w:val="32"/>
          <w:szCs w:val="32"/>
        </w:rPr>
        <w:t>服务业</w:t>
      </w:r>
      <w:r>
        <w:rPr>
          <w:rStyle w:val="11"/>
          <w:rFonts w:ascii="仿宋" w:hAnsi="仿宋" w:eastAsia="仿宋"/>
          <w:sz w:val="32"/>
          <w:szCs w:val="32"/>
        </w:rPr>
        <w:t>企业实现营业收入20.6亿元，同比增长3.6%</w:t>
      </w:r>
      <w:r>
        <w:rPr>
          <w:rStyle w:val="11"/>
          <w:rFonts w:hint="eastAsia" w:ascii="仿宋" w:hAnsi="仿宋" w:eastAsia="仿宋"/>
          <w:sz w:val="32"/>
          <w:szCs w:val="32"/>
        </w:rPr>
        <w:t>。</w:t>
      </w:r>
      <w:r>
        <w:rPr>
          <w:rStyle w:val="11"/>
          <w:rFonts w:ascii="仿宋" w:hAnsi="仿宋" w:eastAsia="仿宋"/>
          <w:sz w:val="32"/>
          <w:szCs w:val="32"/>
        </w:rPr>
        <w:t>租赁和商务服务</w:t>
      </w:r>
      <w:r>
        <w:rPr>
          <w:rStyle w:val="11"/>
          <w:rFonts w:hint="eastAsia" w:ascii="仿宋" w:hAnsi="仿宋" w:eastAsia="仿宋"/>
          <w:sz w:val="32"/>
          <w:szCs w:val="32"/>
        </w:rPr>
        <w:t>业</w:t>
      </w:r>
      <w:r>
        <w:rPr>
          <w:rStyle w:val="11"/>
          <w:rFonts w:ascii="仿宋" w:hAnsi="仿宋" w:eastAsia="仿宋"/>
          <w:sz w:val="32"/>
          <w:szCs w:val="32"/>
        </w:rPr>
        <w:t>企业实现营业收入7.</w:t>
      </w:r>
      <w:r>
        <w:rPr>
          <w:rStyle w:val="11"/>
          <w:rFonts w:hint="eastAsia" w:ascii="仿宋" w:hAnsi="仿宋" w:eastAsia="仿宋"/>
          <w:sz w:val="32"/>
          <w:szCs w:val="32"/>
        </w:rPr>
        <w:t>9</w:t>
      </w:r>
      <w:r>
        <w:rPr>
          <w:rStyle w:val="11"/>
          <w:rFonts w:ascii="仿宋" w:hAnsi="仿宋" w:eastAsia="仿宋"/>
          <w:sz w:val="32"/>
          <w:szCs w:val="32"/>
        </w:rPr>
        <w:t>亿元，同比下降11.</w:t>
      </w:r>
      <w:r>
        <w:rPr>
          <w:rStyle w:val="11"/>
          <w:rFonts w:hint="eastAsia" w:ascii="仿宋" w:hAnsi="仿宋" w:eastAsia="仿宋"/>
          <w:sz w:val="32"/>
          <w:szCs w:val="32"/>
        </w:rPr>
        <w:t>4</w:t>
      </w:r>
      <w:r>
        <w:rPr>
          <w:rStyle w:val="11"/>
          <w:rFonts w:ascii="仿宋" w:hAnsi="仿宋" w:eastAsia="仿宋"/>
          <w:sz w:val="32"/>
          <w:szCs w:val="32"/>
        </w:rPr>
        <w:t>%;交通运输、仓储和邮政业</w:t>
      </w:r>
      <w:r>
        <w:rPr>
          <w:rStyle w:val="11"/>
          <w:rFonts w:hint="eastAsia" w:ascii="仿宋" w:hAnsi="仿宋" w:eastAsia="仿宋"/>
          <w:sz w:val="32"/>
          <w:szCs w:val="32"/>
        </w:rPr>
        <w:t>服务业企业</w:t>
      </w:r>
      <w:r>
        <w:rPr>
          <w:rStyle w:val="11"/>
          <w:rFonts w:ascii="仿宋" w:hAnsi="仿宋" w:eastAsia="仿宋"/>
          <w:sz w:val="32"/>
          <w:szCs w:val="32"/>
        </w:rPr>
        <w:t>营业收入210.8亿元，同比增长1.</w:t>
      </w:r>
      <w:r>
        <w:rPr>
          <w:rStyle w:val="11"/>
          <w:rFonts w:hint="eastAsia" w:ascii="仿宋" w:hAnsi="仿宋" w:eastAsia="仿宋"/>
          <w:sz w:val="32"/>
          <w:szCs w:val="32"/>
        </w:rPr>
        <w:t>4</w:t>
      </w:r>
      <w:r>
        <w:rPr>
          <w:rStyle w:val="11"/>
          <w:rFonts w:ascii="仿宋" w:hAnsi="仿宋" w:eastAsia="仿宋"/>
          <w:sz w:val="32"/>
          <w:szCs w:val="32"/>
        </w:rPr>
        <w:t>%;居民服务、修理和其他服务业</w:t>
      </w:r>
      <w:r>
        <w:rPr>
          <w:rStyle w:val="11"/>
          <w:rFonts w:hint="eastAsia" w:ascii="仿宋" w:hAnsi="仿宋" w:eastAsia="仿宋"/>
          <w:sz w:val="32"/>
          <w:szCs w:val="32"/>
        </w:rPr>
        <w:t>企业</w:t>
      </w:r>
      <w:r>
        <w:rPr>
          <w:rStyle w:val="11"/>
          <w:rFonts w:ascii="仿宋" w:hAnsi="仿宋" w:eastAsia="仿宋"/>
          <w:sz w:val="32"/>
          <w:szCs w:val="32"/>
        </w:rPr>
        <w:t>实现营业收入0.07亿元，同比下降18.</w:t>
      </w:r>
      <w:r>
        <w:rPr>
          <w:rStyle w:val="11"/>
          <w:rFonts w:hint="eastAsia" w:ascii="仿宋" w:hAnsi="仿宋" w:eastAsia="仿宋"/>
          <w:sz w:val="32"/>
          <w:szCs w:val="32"/>
        </w:rPr>
        <w:t>1</w:t>
      </w:r>
      <w:r>
        <w:rPr>
          <w:rStyle w:val="11"/>
          <w:rFonts w:ascii="仿宋" w:hAnsi="仿宋" w:eastAsia="仿宋"/>
          <w:sz w:val="32"/>
          <w:szCs w:val="32"/>
        </w:rPr>
        <w:t>%;科学研究和技术服务业</w:t>
      </w:r>
      <w:r>
        <w:rPr>
          <w:rStyle w:val="11"/>
          <w:rFonts w:hint="eastAsia" w:ascii="仿宋" w:hAnsi="仿宋" w:eastAsia="仿宋"/>
          <w:sz w:val="32"/>
          <w:szCs w:val="32"/>
        </w:rPr>
        <w:t>企业</w:t>
      </w:r>
      <w:r>
        <w:rPr>
          <w:rStyle w:val="11"/>
          <w:rFonts w:ascii="仿宋" w:hAnsi="仿宋" w:eastAsia="仿宋"/>
          <w:sz w:val="32"/>
          <w:szCs w:val="32"/>
        </w:rPr>
        <w:t>实现营业收入6.7亿元，同比增长8.</w:t>
      </w:r>
      <w:r>
        <w:rPr>
          <w:rStyle w:val="11"/>
          <w:rFonts w:hint="eastAsia" w:ascii="仿宋" w:hAnsi="仿宋" w:eastAsia="仿宋"/>
          <w:sz w:val="32"/>
          <w:szCs w:val="32"/>
        </w:rPr>
        <w:t>7</w:t>
      </w:r>
      <w:r>
        <w:rPr>
          <w:rStyle w:val="11"/>
          <w:rFonts w:ascii="仿宋" w:hAnsi="仿宋" w:eastAsia="仿宋"/>
          <w:sz w:val="32"/>
          <w:szCs w:val="32"/>
        </w:rPr>
        <w:t>%。</w:t>
      </w:r>
    </w:p>
    <w:p>
      <w:pPr>
        <w:pStyle w:val="2"/>
        <w:ind w:left="420" w:leftChars="200"/>
        <w:jc w:val="center"/>
        <w:rPr>
          <w:rStyle w:val="11"/>
        </w:rPr>
      </w:pPr>
      <w:r>
        <w:rPr>
          <w:rStyle w:val="11"/>
        </w:rPr>
        <w:drawing>
          <wp:inline distT="0" distB="0" distL="114300" distR="114300">
            <wp:extent cx="3726180" cy="2461260"/>
            <wp:effectExtent l="0" t="0" r="762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Style w:val="11"/>
          <w:rFonts w:ascii="黑体" w:hAnsi="黑体" w:eastAsia="黑体"/>
          <w:sz w:val="32"/>
          <w:szCs w:val="32"/>
        </w:rPr>
      </w:pPr>
      <w:r>
        <w:rPr>
          <w:rStyle w:val="11"/>
          <w:rFonts w:ascii="黑体" w:hAnsi="黑体" w:eastAsia="黑体"/>
          <w:sz w:val="32"/>
          <w:szCs w:val="32"/>
        </w:rPr>
        <w:t>二、经济运行总体情况</w:t>
      </w:r>
    </w:p>
    <w:p>
      <w:pPr>
        <w:spacing w:line="700" w:lineRule="exact"/>
        <w:ind w:firstLine="640" w:firstLineChars="200"/>
        <w:rPr>
          <w:rStyle w:val="11"/>
          <w:rFonts w:ascii="仿宋" w:hAnsi="仿宋" w:eastAsia="仿宋"/>
          <w:sz w:val="32"/>
          <w:szCs w:val="32"/>
        </w:rPr>
      </w:pPr>
      <w:r>
        <w:rPr>
          <w:rStyle w:val="11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（一）固定资产投资同比下降。</w:t>
      </w:r>
      <w:r>
        <w:rPr>
          <w:rStyle w:val="11"/>
          <w:rFonts w:ascii="仿宋" w:hAnsi="仿宋" w:eastAsia="仿宋"/>
          <w:sz w:val="32"/>
          <w:szCs w:val="32"/>
        </w:rPr>
        <w:t>一是省市重点项目支撑不足，省市重点项目是稳投资、稳增长的重要抓手，虽从项目数量上</w:t>
      </w:r>
      <w:r>
        <w:rPr>
          <w:rStyle w:val="11"/>
          <w:rFonts w:hint="eastAsia" w:ascii="仿宋" w:hAnsi="仿宋" w:eastAsia="仿宋"/>
          <w:sz w:val="32"/>
          <w:szCs w:val="32"/>
        </w:rPr>
        <w:t>南岗</w:t>
      </w:r>
      <w:r>
        <w:rPr>
          <w:rStyle w:val="11"/>
          <w:rFonts w:ascii="仿宋" w:hAnsi="仿宋" w:eastAsia="仿宋"/>
          <w:sz w:val="32"/>
          <w:szCs w:val="32"/>
        </w:rPr>
        <w:t>区与其他3个主城区相差无几，但从投资规模上比差距较大（我区25个省市重点项目，年度计划投资20.</w:t>
      </w:r>
      <w:r>
        <w:rPr>
          <w:rStyle w:val="11"/>
          <w:rFonts w:hint="eastAsia" w:ascii="仿宋" w:hAnsi="仿宋" w:eastAsia="仿宋"/>
          <w:sz w:val="32"/>
          <w:szCs w:val="32"/>
        </w:rPr>
        <w:t>5</w:t>
      </w:r>
      <w:r>
        <w:rPr>
          <w:rStyle w:val="11"/>
          <w:rFonts w:ascii="仿宋" w:hAnsi="仿宋" w:eastAsia="仿宋"/>
          <w:sz w:val="32"/>
          <w:szCs w:val="32"/>
        </w:rPr>
        <w:t>亿元；道外区省市重点项目15个，年计划投资53.5亿元；香坊区省市重点项目25个，年计划投资23.3亿元）。按照2022年我区固定资产投资需完成102亿元的目标来看，省市重点项目年度计划投资仅占18.1%，对实现固定资产投资目标支撑差距较大。二是房地产个别在建项目今年投资大幅减少，新项目暂未入库。1-7月，凯盛源、林大地块、鲁商三号地块项目投资额</w:t>
      </w:r>
      <w:r>
        <w:rPr>
          <w:rStyle w:val="11"/>
          <w:rFonts w:hint="eastAsia" w:ascii="仿宋" w:hAnsi="仿宋" w:eastAsia="仿宋"/>
          <w:sz w:val="32"/>
          <w:szCs w:val="32"/>
        </w:rPr>
        <w:t>比去年同期</w:t>
      </w:r>
      <w:r>
        <w:rPr>
          <w:rStyle w:val="11"/>
          <w:rFonts w:ascii="仿宋" w:hAnsi="仿宋" w:eastAsia="仿宋"/>
          <w:sz w:val="32"/>
          <w:szCs w:val="32"/>
        </w:rPr>
        <w:t>合计减少84111万元，</w:t>
      </w:r>
      <w:r>
        <w:rPr>
          <w:rStyle w:val="11"/>
          <w:rFonts w:hint="eastAsia" w:ascii="仿宋" w:hAnsi="仿宋" w:eastAsia="仿宋"/>
          <w:sz w:val="32"/>
          <w:szCs w:val="32"/>
        </w:rPr>
        <w:t>影响</w:t>
      </w:r>
      <w:r>
        <w:rPr>
          <w:rStyle w:val="11"/>
          <w:rFonts w:ascii="仿宋" w:hAnsi="仿宋" w:eastAsia="仿宋"/>
          <w:sz w:val="32"/>
          <w:szCs w:val="32"/>
        </w:rPr>
        <w:t>我区固投下降22个百分点。哈工大文轩科技园2号、3号和4号地项目现已开工但暂未入统，预计10月底之前能够全部完成入库入统。</w:t>
      </w:r>
    </w:p>
    <w:p>
      <w:pPr>
        <w:spacing w:line="700" w:lineRule="exact"/>
        <w:ind w:firstLine="640" w:firstLineChars="200"/>
        <w:rPr>
          <w:rStyle w:val="11"/>
          <w:rFonts w:ascii="楷体" w:hAnsi="楷体" w:eastAsia="楷体"/>
          <w:sz w:val="32"/>
          <w:szCs w:val="32"/>
        </w:rPr>
      </w:pPr>
      <w:r>
        <w:rPr>
          <w:rStyle w:val="11"/>
          <w:rFonts w:ascii="楷体_GB2312" w:hAnsi="楷体_GB2312" w:eastAsia="楷体_GB2312"/>
          <w:b w:val="0"/>
          <w:bCs w:val="0"/>
          <w:sz w:val="32"/>
          <w:szCs w:val="32"/>
        </w:rPr>
        <w:t>（二）</w:t>
      </w:r>
      <w:r>
        <w:rPr>
          <w:rStyle w:val="11"/>
          <w:rFonts w:ascii="楷体_GB2312" w:hAnsi="楷体_GB2312" w:eastAsia="楷体_GB2312" w:cs="楷体_GB2312"/>
          <w:b w:val="0"/>
          <w:bCs w:val="0"/>
          <w:sz w:val="32"/>
          <w:szCs w:val="32"/>
        </w:rPr>
        <w:t>规上工业增长乏力。</w:t>
      </w:r>
      <w:r>
        <w:rPr>
          <w:rStyle w:val="11"/>
          <w:rFonts w:ascii="仿宋" w:hAnsi="仿宋" w:eastAsia="仿宋"/>
          <w:sz w:val="32"/>
          <w:szCs w:val="32"/>
        </w:rPr>
        <w:t>一是区域及区域其他规上企业负向拉动作用明显。黑龙江省北大荒米业集团有限公司、北大荒完达山乳业股份有限公司和哈尔滨乐普实业有限公司</w:t>
      </w:r>
      <w:r>
        <w:rPr>
          <w:rStyle w:val="11"/>
          <w:rFonts w:hint="eastAsia" w:ascii="仿宋" w:hAnsi="仿宋" w:eastAsia="仿宋"/>
          <w:sz w:val="32"/>
          <w:szCs w:val="32"/>
        </w:rPr>
        <w:t>指标下滑较为严重，</w:t>
      </w:r>
      <w:r>
        <w:rPr>
          <w:rStyle w:val="11"/>
          <w:rFonts w:ascii="仿宋" w:hAnsi="仿宋" w:eastAsia="仿宋"/>
          <w:sz w:val="32"/>
          <w:szCs w:val="32"/>
        </w:rPr>
        <w:t>3家企业1-7月产值</w:t>
      </w:r>
      <w:r>
        <w:rPr>
          <w:rStyle w:val="11"/>
          <w:rFonts w:hint="eastAsia" w:ascii="仿宋" w:hAnsi="仿宋" w:eastAsia="仿宋"/>
          <w:sz w:val="32"/>
          <w:szCs w:val="32"/>
        </w:rPr>
        <w:t>比去年同期合计</w:t>
      </w:r>
      <w:r>
        <w:rPr>
          <w:rStyle w:val="11"/>
          <w:rFonts w:ascii="仿宋" w:hAnsi="仿宋" w:eastAsia="仿宋"/>
          <w:sz w:val="32"/>
          <w:szCs w:val="32"/>
        </w:rPr>
        <w:t>减少24507万元，影响我区规上工业下降5.1个百分点。二是区属龙头企业产值下滑严重，黑龙江德沃科技开发有限公司1-7月产值同比减少6623万元，影响我区规上工业下降1.4个百分点；哈尔滨农垦同达供热有限责任公司1-7月产值减少3940万元，影响我区规上工业下降0.8个百分点；哈尔滨森鹰窗业股份有限公司1-7月产值减少3279万元，影响我区规上工业下降0.7个百分点。</w:t>
      </w:r>
    </w:p>
    <w:p>
      <w:pPr>
        <w:spacing w:line="700" w:lineRule="exact"/>
        <w:ind w:firstLine="640" w:firstLineChars="200"/>
        <w:rPr>
          <w:rStyle w:val="11"/>
          <w:rFonts w:ascii="仿宋" w:hAnsi="仿宋" w:eastAsia="仿宋"/>
          <w:sz w:val="32"/>
          <w:szCs w:val="32"/>
        </w:rPr>
      </w:pPr>
      <w:r>
        <w:rPr>
          <w:rStyle w:val="11"/>
          <w:rFonts w:ascii="楷体_GB2312" w:hAnsi="楷体_GB2312" w:eastAsia="楷体_GB2312"/>
          <w:b w:val="0"/>
          <w:bCs w:val="0"/>
          <w:sz w:val="32"/>
          <w:szCs w:val="32"/>
        </w:rPr>
        <w:t>（三）</w:t>
      </w:r>
      <w:r>
        <w:rPr>
          <w:rStyle w:val="11"/>
          <w:rFonts w:ascii="楷体_GB2312" w:hAnsi="楷体_GB2312" w:eastAsia="楷体_GB2312" w:cs="楷体_GB2312"/>
          <w:b w:val="0"/>
          <w:bCs w:val="0"/>
          <w:sz w:val="32"/>
          <w:szCs w:val="32"/>
        </w:rPr>
        <w:t>消费品市场降幅收窄。</w:t>
      </w:r>
      <w:r>
        <w:rPr>
          <w:rStyle w:val="11"/>
          <w:rFonts w:ascii="仿宋" w:hAnsi="仿宋" w:eastAsia="仿宋"/>
          <w:sz w:val="32"/>
          <w:szCs w:val="32"/>
        </w:rPr>
        <w:t>批零、住餐、全区社零额降幅自今年5月份以来逐月收窄，消费品市场正逐步恢复，当前消费品市场整体虽呈现加快恢复态势，但受前期疫情频发的影响，居民收入减少，消费意愿和消费能力持续减弱，零售、住宿、餐饮等基础性消费、聚集性消费受疫情影响最直接、最严重的行业市场回补释放不足。如哈尔滨秋林集团股份有限公司，1-7月实现销售额6936.3万元，同比下降58.8%，原因是由于今年疫情频发，居民购买力持续降低，导致零售额比去年同期减少；哈尔滨果戈里宾馆有限责任公司，1-7月实现销售额55.1万元，同比下降53.7%，该宾馆的主要消费群体是外来游客，今年以来受疫情影响，我区旅游业遭到重创，外来游客锐减，因此营业额减少。</w:t>
      </w:r>
    </w:p>
    <w:p>
      <w:pPr>
        <w:spacing w:line="700" w:lineRule="exact"/>
        <w:ind w:firstLine="640" w:firstLineChars="200"/>
      </w:pPr>
      <w:r>
        <w:rPr>
          <w:rStyle w:val="11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（四）服务业增长后劲不足。</w:t>
      </w:r>
      <w:r>
        <w:rPr>
          <w:rStyle w:val="11"/>
          <w:rFonts w:ascii="仿宋" w:hAnsi="仿宋" w:eastAsia="仿宋"/>
          <w:sz w:val="32"/>
          <w:szCs w:val="32"/>
        </w:rPr>
        <w:t>一是哈尔滨技术人才流失严重，企业缺乏长久竞争力。如哈尔滨鹏博普华科技发展有限责任公司，我区科技型中小服务业企业，近三年年均研发收入671万元，拥有专职研发人员83人，区统计局在对该企业调研时发现企业近3年技术人才流失严重，研发人才并未享受到任何地方人才优惠政策，企业招人难、用人难、留人更难，影响企业后续发展。二是企业数量与规模不成比例，质量不高。规上服务业中数量占比较大的企业收入偏少，如我区有48家租赁和商务服务业企业，约占规上服务业总数的近三分之一，但是营业收入却只占规上服务业营业收入0.03%，对服务业增长拉动作用微乎其微。三是传统服务业占主流，缺乏特色服务业。现代服务业未形成体系规模，缺少技术含量高和附加值高的企业，科学技术服务业发展力度不够，我区规上科学技术服务业收入仅占全区服务业收入的2.</w:t>
      </w:r>
      <w:r>
        <w:rPr>
          <w:rStyle w:val="11"/>
          <w:rFonts w:hint="eastAsia" w:ascii="仿宋" w:hAnsi="仿宋" w:eastAsia="仿宋"/>
          <w:sz w:val="32"/>
          <w:szCs w:val="32"/>
        </w:rPr>
        <w:t>6</w:t>
      </w:r>
      <w:r>
        <w:rPr>
          <w:rStyle w:val="11"/>
          <w:rFonts w:ascii="仿宋" w:hAnsi="仿宋" w:eastAsia="仿宋"/>
          <w:sz w:val="32"/>
          <w:szCs w:val="32"/>
        </w:rPr>
        <w:t>%。</w:t>
      </w:r>
    </w:p>
    <w:p>
      <w:pPr>
        <w:spacing w:line="700" w:lineRule="exact"/>
        <w:ind w:firstLine="640" w:firstLineChars="200"/>
        <w:rPr>
          <w:rStyle w:val="11"/>
          <w:rFonts w:ascii="黑体" w:hAnsi="黑体" w:eastAsia="黑体"/>
          <w:sz w:val="32"/>
          <w:szCs w:val="32"/>
        </w:rPr>
      </w:pPr>
      <w:r>
        <w:rPr>
          <w:rStyle w:val="11"/>
          <w:rFonts w:ascii="黑体" w:hAnsi="黑体" w:eastAsia="黑体"/>
          <w:sz w:val="32"/>
          <w:szCs w:val="32"/>
        </w:rPr>
        <w:t>三、下步工作建议</w:t>
      </w:r>
    </w:p>
    <w:p>
      <w:pPr>
        <w:pStyle w:val="2"/>
        <w:spacing w:line="700" w:lineRule="exact"/>
        <w:ind w:firstLine="640" w:firstLineChars="200"/>
        <w:rPr>
          <w:rStyle w:val="11"/>
          <w:rFonts w:ascii="仿宋" w:hAnsi="仿宋" w:eastAsia="仿宋"/>
          <w:sz w:val="32"/>
          <w:szCs w:val="32"/>
        </w:rPr>
      </w:pPr>
      <w:r>
        <w:rPr>
          <w:rStyle w:val="11"/>
          <w:rFonts w:ascii="楷体_GB2312" w:hAnsi="楷体_GB2312" w:eastAsia="楷体_GB2312"/>
          <w:b w:val="0"/>
          <w:bCs w:val="0"/>
          <w:sz w:val="32"/>
          <w:szCs w:val="32"/>
        </w:rPr>
        <w:t>（一）精准</w:t>
      </w:r>
      <w:r>
        <w:rPr>
          <w:rStyle w:val="11"/>
          <w:rFonts w:ascii="楷体_GB2312" w:hAnsi="楷体_GB2312" w:eastAsia="楷体_GB2312" w:cs="楷体_GB2312"/>
          <w:b w:val="0"/>
          <w:bCs w:val="0"/>
          <w:sz w:val="32"/>
          <w:szCs w:val="32"/>
        </w:rPr>
        <w:t>链条招商谋划项目。</w:t>
      </w:r>
      <w:r>
        <w:rPr>
          <w:rStyle w:val="11"/>
          <w:rFonts w:ascii="仿宋" w:hAnsi="仿宋" w:eastAsia="仿宋"/>
          <w:sz w:val="32"/>
          <w:szCs w:val="32"/>
        </w:rPr>
        <w:t>抓经济的根本是抓项目，新项目是经济发展的新动能。我区应进一步完善“全员+专班+专业”的招商模式，瞄准龙头支柱企业和新兴战略企业，靶向引进一批能够带动上下游产业全面发展的实力企业，充分利用好已经梳理出的闲置土地、厂房和楼宇资源，同时加大对接哈工大、哈工程等驻区重点高校的科技成果就地转化，集聚产业发展新动能，进一步充实“谋划项目库”，全面提升我区经济软硬件综合实力，促进我区产业链条健康发展。</w:t>
      </w:r>
    </w:p>
    <w:p>
      <w:pPr>
        <w:pStyle w:val="2"/>
        <w:spacing w:line="700" w:lineRule="exact"/>
        <w:ind w:firstLine="640" w:firstLineChars="200"/>
        <w:rPr>
          <w:rStyle w:val="11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11"/>
          <w:rFonts w:ascii="楷体_GB2312" w:hAnsi="楷体_GB2312" w:eastAsia="楷体_GB2312"/>
          <w:b w:val="0"/>
          <w:bCs w:val="0"/>
          <w:sz w:val="32"/>
          <w:szCs w:val="32"/>
        </w:rPr>
        <w:t>（二）扶持工业</w:t>
      </w:r>
      <w:r>
        <w:rPr>
          <w:rStyle w:val="11"/>
          <w:rFonts w:ascii="楷体_GB2312" w:hAnsi="楷体_GB2312" w:eastAsia="楷体_GB2312" w:cs="楷体_GB2312"/>
          <w:b w:val="0"/>
          <w:bCs w:val="0"/>
          <w:sz w:val="32"/>
          <w:szCs w:val="32"/>
        </w:rPr>
        <w:t>企业加大生产。</w:t>
      </w:r>
      <w:r>
        <w:rPr>
          <w:rStyle w:val="11"/>
          <w:rFonts w:ascii="仿宋" w:hAnsi="仿宋" w:eastAsia="仿宋"/>
          <w:sz w:val="32"/>
          <w:szCs w:val="32"/>
        </w:rPr>
        <w:t>从月分析工作入手，强化经济运行分析判断，重点关注区属工业企业森鹰窗业、银嘉医疗、德沃科技等区属企业的产值变动情况，及时跟踪企业生产经营情况，帮助企业开拓市场、释放产能，提高市场占有率，确保区属工业企业继续保持良好的上升态势。同时也要深度走访区域规上工业，建立沟通渠道，帮助企业解决生产生活困难，促进企业良性发展。紧盯规下样本，助企纾困，精准发力培育成长</w:t>
      </w:r>
      <w:r>
        <w:rPr>
          <w:rStyle w:val="11"/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spacing w:line="700" w:lineRule="exact"/>
        <w:ind w:firstLine="640" w:firstLineChars="200"/>
        <w:rPr>
          <w:rStyle w:val="11"/>
          <w:rFonts w:ascii="仿宋" w:hAnsi="仿宋" w:eastAsia="仿宋"/>
          <w:sz w:val="32"/>
          <w:szCs w:val="32"/>
        </w:rPr>
      </w:pPr>
      <w:r>
        <w:rPr>
          <w:rStyle w:val="11"/>
          <w:rFonts w:ascii="楷体_GB2312" w:hAnsi="楷体_GB2312" w:eastAsia="楷体_GB2312"/>
          <w:b w:val="0"/>
          <w:bCs w:val="0"/>
          <w:sz w:val="32"/>
          <w:szCs w:val="32"/>
        </w:rPr>
        <w:t>（三）多措</w:t>
      </w:r>
      <w:r>
        <w:rPr>
          <w:rStyle w:val="11"/>
          <w:rFonts w:ascii="楷体_GB2312" w:hAnsi="楷体_GB2312" w:eastAsia="楷体_GB2312" w:cs="楷体_GB2312"/>
          <w:b w:val="0"/>
          <w:bCs w:val="0"/>
          <w:sz w:val="32"/>
          <w:szCs w:val="32"/>
        </w:rPr>
        <w:t>促销收窄增幅</w:t>
      </w:r>
      <w:r>
        <w:rPr>
          <w:rStyle w:val="11"/>
          <w:rFonts w:ascii="楷体_GB2312" w:hAnsi="楷体_GB2312" w:eastAsia="楷体_GB2312"/>
          <w:b w:val="0"/>
          <w:bCs w:val="0"/>
          <w:sz w:val="32"/>
          <w:szCs w:val="32"/>
        </w:rPr>
        <w:t>。</w:t>
      </w:r>
      <w:r>
        <w:rPr>
          <w:rStyle w:val="11"/>
          <w:rFonts w:ascii="仿宋" w:hAnsi="仿宋" w:eastAsia="仿宋"/>
          <w:sz w:val="32"/>
          <w:szCs w:val="32"/>
        </w:rPr>
        <w:t>在认真执行国家、省、市和区疫情常态化防控相关要求的基础上，引导全区批发零售、餐饮业利用好“中秋”</w:t>
      </w:r>
      <w:r>
        <w:rPr>
          <w:rStyle w:val="11"/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Style w:val="11"/>
          <w:rFonts w:ascii="仿宋" w:hAnsi="仿宋" w:eastAsia="仿宋"/>
          <w:sz w:val="32"/>
          <w:szCs w:val="32"/>
        </w:rPr>
        <w:t>“国庆”等节日开展商品展销会等活动，以打折、满减、以旧换新、发放消费券等优惠促销增加企业收入。借助哈尔滨夏季避暑胜地优势打造旅游避暑季助力住宿业回暖，提振企业信心，增强市场活力，商贸业持续发展，收窄降幅。</w:t>
      </w:r>
    </w:p>
    <w:p>
      <w:pPr>
        <w:pStyle w:val="2"/>
        <w:spacing w:line="700" w:lineRule="exact"/>
        <w:ind w:firstLine="640" w:firstLineChars="200"/>
        <w:rPr>
          <w:rStyle w:val="11"/>
          <w:rFonts w:ascii="仿宋" w:hAnsi="仿宋" w:eastAsia="仿宋" w:cs="仿宋"/>
          <w:sz w:val="32"/>
          <w:szCs w:val="32"/>
        </w:rPr>
      </w:pPr>
      <w:r>
        <w:rPr>
          <w:rStyle w:val="11"/>
          <w:rFonts w:ascii="楷体_GB2312" w:hAnsi="楷体_GB2312" w:eastAsia="楷体_GB2312"/>
          <w:b w:val="0"/>
          <w:bCs w:val="0"/>
          <w:sz w:val="32"/>
          <w:szCs w:val="32"/>
        </w:rPr>
        <w:t>（四）发展特色现代服务业。</w:t>
      </w:r>
      <w:r>
        <w:rPr>
          <w:rStyle w:val="11"/>
          <w:rFonts w:hint="eastAsia" w:ascii="仿宋" w:hAnsi="仿宋" w:eastAsia="仿宋" w:cs="仿宋"/>
          <w:sz w:val="32"/>
          <w:szCs w:val="32"/>
        </w:rPr>
        <w:t>发挥区位优势，借助哈工大等大学大所科研特色，研究谋划现代服务业发展路径，特别是发展壮大科学技术服务业，引导传统服务业转型升级。优化人才发展环境，加大对地方人才优惠政策的宣传力度，吸引和聘用高级人才，进一步加强大型企业与高校院所优秀人才的对接力度，为促进现代服务业持续快速发展提供强有力的人才保障。</w:t>
      </w:r>
    </w:p>
    <w:p>
      <w:pPr>
        <w:pStyle w:val="2"/>
        <w:spacing w:line="700" w:lineRule="exact"/>
        <w:rPr>
          <w:rStyle w:val="11"/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EC357"/>
    <w:multiLevelType w:val="singleLevel"/>
    <w:tmpl w:val="87DEC357"/>
    <w:lvl w:ilvl="0" w:tentative="0">
      <w:start w:val="1"/>
      <w:numFmt w:val="chineseCounting"/>
      <w:suff w:val="nothing"/>
      <w:lvlText w:val="（%1）"/>
      <w:lvlJc w:val="left"/>
      <w:pPr>
        <w:widowControl/>
        <w:textAlignment w:val="baseline"/>
      </w:pPr>
      <w:rPr>
        <w:rFonts w:ascii="楷体_GB2312" w:hAnsi="楷体_GB2312" w:eastAsia="楷体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mM1ZGNkZTAzMDExNWI0ZGEwOTJlNTZjYzRmYTMifQ=="/>
  </w:docVars>
  <w:rsids>
    <w:rsidRoot w:val="00826CA1"/>
    <w:rsid w:val="000762E6"/>
    <w:rsid w:val="00721276"/>
    <w:rsid w:val="00826CA1"/>
    <w:rsid w:val="008F157A"/>
    <w:rsid w:val="009A23F6"/>
    <w:rsid w:val="00EB7C3B"/>
    <w:rsid w:val="3CD95261"/>
    <w:rsid w:val="4AA02CF7"/>
    <w:rsid w:val="4F54695F"/>
    <w:rsid w:val="64575A83"/>
    <w:rsid w:val="65C05913"/>
    <w:rsid w:val="681D7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rFonts w:ascii="Times New Roman" w:hAnsi="Times New Roman"/>
    </w:rPr>
  </w:style>
  <w:style w:type="paragraph" w:styleId="3">
    <w:name w:val="Body Text"/>
    <w:basedOn w:val="1"/>
    <w:qFormat/>
    <w:uiPriority w:val="0"/>
    <w:rPr>
      <w:rFonts w:ascii="Times New Roman" w:hAnsi="Times New Roman" w:cs="Times New Roman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1"/>
    <w:basedOn w:val="1"/>
    <w:next w:val="1"/>
    <w:link w:val="13"/>
    <w:qFormat/>
    <w:uiPriority w:val="0"/>
    <w:pPr>
      <w:keepNext/>
      <w:keepLines/>
      <w:spacing w:before="340" w:after="330" w:line="576" w:lineRule="auto"/>
    </w:pPr>
    <w:rPr>
      <w:b/>
      <w:kern w:val="44"/>
      <w:sz w:val="44"/>
    </w:rPr>
  </w:style>
  <w:style w:type="paragraph" w:customStyle="1" w:styleId="9">
    <w:name w:val="Heading3"/>
    <w:basedOn w:val="1"/>
    <w:next w:val="1"/>
    <w:link w:val="14"/>
    <w:qFormat/>
    <w:uiPriority w:val="0"/>
    <w:pPr>
      <w:keepNext/>
      <w:keepLines/>
      <w:spacing w:before="260" w:after="260" w:line="413" w:lineRule="auto"/>
    </w:pPr>
    <w:rPr>
      <w:b/>
      <w:sz w:val="32"/>
    </w:rPr>
  </w:style>
  <w:style w:type="paragraph" w:customStyle="1" w:styleId="10">
    <w:name w:val="Heading4"/>
    <w:basedOn w:val="1"/>
    <w:next w:val="1"/>
    <w:link w:val="15"/>
    <w:qFormat/>
    <w:uiPriority w:val="0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link w:val="8"/>
    <w:qFormat/>
    <w:uiPriority w:val="0"/>
    <w:rPr>
      <w:b/>
      <w:kern w:val="44"/>
      <w:sz w:val="44"/>
    </w:rPr>
  </w:style>
  <w:style w:type="character" w:customStyle="1" w:styleId="14">
    <w:name w:val="UserStyle_1"/>
    <w:link w:val="9"/>
    <w:qFormat/>
    <w:uiPriority w:val="0"/>
    <w:rPr>
      <w:b/>
      <w:sz w:val="32"/>
    </w:rPr>
  </w:style>
  <w:style w:type="character" w:customStyle="1" w:styleId="15">
    <w:name w:val="UserStyle_2"/>
    <w:link w:val="10"/>
    <w:qFormat/>
    <w:uiPriority w:val="0"/>
    <w:rPr>
      <w:rFonts w:ascii="Arial" w:hAnsi="Arial" w:eastAsia="黑体"/>
      <w:b/>
      <w:sz w:val="28"/>
    </w:rPr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1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2824</Words>
  <Characters>3095</Characters>
  <Lines>22</Lines>
  <Paragraphs>6</Paragraphs>
  <TotalTime>11</TotalTime>
  <ScaleCrop>false</ScaleCrop>
  <LinksUpToDate>false</LinksUpToDate>
  <CharactersWithSpaces>3095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2022-08-19T01:38:00Z</dcterms:created>
  <dc:creator>Administrator</dc:creator>
  <cp:lastModifiedBy>芫儿</cp:lastModifiedBy>
  <dcterms:modified xsi:type="dcterms:W3CDTF">2022-10-28T01:44:27Z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6D415191CF194AE98ED27DDB1DE4E608</vt:lpwstr>
  </property>
</Properties>
</file>