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1-8月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南岗区经济运行情况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一、主要经济指标完成情况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（一）财政收支。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，南岗区完成一般公共预算收入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亿元，同比增长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29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%，增幅比</w:t>
      </w:r>
      <w:r>
        <w:rPr>
          <w:rFonts w:hint="default" w:ascii="仿宋_GB2312" w:hAnsi="仿宋_GB2312" w:eastAsia="仿宋_GB2312" w:cs="仿宋_GB2312"/>
          <w:sz w:val="34"/>
          <w:szCs w:val="34"/>
        </w:rPr>
        <w:t>1-7月</w:t>
      </w:r>
      <w:r>
        <w:rPr>
          <w:rFonts w:hint="eastAsia" w:ascii="仿宋_GB2312" w:hAnsi="仿宋_GB2312" w:eastAsia="仿宋_GB2312" w:cs="仿宋_GB2312"/>
          <w:sz w:val="34"/>
          <w:szCs w:val="34"/>
        </w:rPr>
        <w:t>份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个百分点，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比全市高</w:t>
      </w:r>
      <w:r>
        <w:rPr>
          <w:rFonts w:hint="default" w:ascii="仿宋_GB2312" w:hAnsi="仿宋_GB2312" w:eastAsia="仿宋_GB2312" w:cs="仿宋_GB2312"/>
          <w:sz w:val="34"/>
          <w:szCs w:val="34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个百分点。总量占九区的1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34"/>
          <w:szCs w:val="34"/>
        </w:rPr>
        <w:t>%，居九区第三位；增幅位列第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，比道里区高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个百分点。一般公共预算支出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</w:rPr>
        <w:t>亿元，同比增长1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%。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（二）固定资产投资。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，南岗区完成固定资产投资同比增长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％。增幅位列九区第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sz w:val="34"/>
          <w:szCs w:val="34"/>
        </w:rPr>
        <w:t>，主城区第二，比</w:t>
      </w:r>
      <w:r>
        <w:rPr>
          <w:rFonts w:hint="default" w:ascii="仿宋_GB2312" w:hAnsi="仿宋_GB2312" w:eastAsia="仿宋_GB2312" w:cs="仿宋_GB2312"/>
          <w:sz w:val="34"/>
          <w:szCs w:val="34"/>
        </w:rPr>
        <w:t>1-7月</w:t>
      </w:r>
      <w:r>
        <w:rPr>
          <w:rFonts w:hint="eastAsia" w:ascii="仿宋_GB2312" w:hAnsi="仿宋_GB2312" w:eastAsia="仿宋_GB2312" w:cs="仿宋_GB2312"/>
          <w:sz w:val="34"/>
          <w:szCs w:val="34"/>
        </w:rPr>
        <w:t>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个百分点，比全市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比道里区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个百分点。其中，基本建设完成投资占全区投资比重的26%；房地产本年完成投资占全区投资比重的74%。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分领域看，1-8月基础设施投资同比增长103.2%；制造业投资同比</w:t>
      </w:r>
      <w:r>
        <w:rPr>
          <w:rFonts w:hint="default" w:ascii="仿宋_GB2312" w:hAnsi="仿宋_GB2312" w:eastAsia="仿宋_GB2312" w:cs="仿宋_GB2312"/>
          <w:sz w:val="34"/>
          <w:szCs w:val="34"/>
        </w:rPr>
        <w:t>下降</w:t>
      </w:r>
      <w:r>
        <w:rPr>
          <w:rFonts w:hint="eastAsia" w:ascii="仿宋_GB2312" w:hAnsi="仿宋_GB2312" w:eastAsia="仿宋_GB2312" w:cs="仿宋_GB2312"/>
          <w:sz w:val="34"/>
          <w:szCs w:val="34"/>
        </w:rPr>
        <w:t>34.9%；房地产开发投资同比</w:t>
      </w:r>
      <w:r>
        <w:rPr>
          <w:rFonts w:hint="default" w:ascii="仿宋_GB2312" w:hAnsi="仿宋_GB2312" w:eastAsia="仿宋_GB2312" w:cs="仿宋_GB2312"/>
          <w:sz w:val="34"/>
          <w:szCs w:val="34"/>
        </w:rPr>
        <w:t>下降</w:t>
      </w:r>
      <w:r>
        <w:rPr>
          <w:rFonts w:hint="eastAsia" w:ascii="仿宋_GB2312" w:hAnsi="仿宋_GB2312" w:eastAsia="仿宋_GB2312" w:cs="仿宋_GB2312"/>
          <w:sz w:val="34"/>
          <w:szCs w:val="34"/>
        </w:rPr>
        <w:t>5.7%。分产业看，第一产业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无</w:t>
      </w:r>
      <w:r>
        <w:rPr>
          <w:rFonts w:hint="eastAsia" w:ascii="仿宋_GB2312" w:hAnsi="仿宋_GB2312" w:eastAsia="仿宋_GB2312" w:cs="仿宋_GB2312"/>
          <w:sz w:val="34"/>
          <w:szCs w:val="34"/>
        </w:rPr>
        <w:t>投资；第二产业投资同比</w:t>
      </w:r>
      <w:r>
        <w:rPr>
          <w:rFonts w:hint="default" w:ascii="仿宋_GB2312" w:hAnsi="仿宋_GB2312" w:eastAsia="仿宋_GB2312" w:cs="仿宋_GB2312"/>
          <w:sz w:val="34"/>
          <w:szCs w:val="34"/>
        </w:rPr>
        <w:t>下降</w:t>
      </w:r>
      <w:r>
        <w:rPr>
          <w:rFonts w:hint="eastAsia" w:ascii="仿宋_GB2312" w:hAnsi="仿宋_GB2312" w:eastAsia="仿宋_GB2312" w:cs="仿宋_GB2312"/>
          <w:sz w:val="34"/>
          <w:szCs w:val="34"/>
        </w:rPr>
        <w:t>19.3%；第三产业投资同比增长8.7%。商品房销售面积同比</w:t>
      </w:r>
      <w:r>
        <w:rPr>
          <w:rFonts w:hint="default" w:ascii="仿宋_GB2312" w:hAnsi="仿宋_GB2312" w:eastAsia="仿宋_GB2312" w:cs="仿宋_GB2312"/>
          <w:sz w:val="34"/>
          <w:szCs w:val="34"/>
        </w:rPr>
        <w:t>下降</w:t>
      </w:r>
      <w:r>
        <w:rPr>
          <w:rFonts w:hint="eastAsia" w:ascii="仿宋_GB2312" w:hAnsi="仿宋_GB2312" w:eastAsia="仿宋_GB2312" w:cs="仿宋_GB2312"/>
          <w:sz w:val="34"/>
          <w:szCs w:val="34"/>
        </w:rPr>
        <w:t>52.2%；商品房销售额同比下降16.6%。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（三）规模以上工业。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根据市级反馈数据，</w:t>
      </w:r>
      <w:r>
        <w:rPr>
          <w:rFonts w:hint="eastAsia" w:ascii="仿宋_GB2312" w:hAnsi="仿宋_GB2312" w:eastAsia="仿宋_GB2312" w:cs="仿宋_GB2312"/>
          <w:sz w:val="34"/>
          <w:szCs w:val="34"/>
        </w:rPr>
        <w:t>南岗区域8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</w:rPr>
        <w:t>户规上工业实现增加值同比增长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%，增幅位列九区第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</w:t>
      </w:r>
      <w:r>
        <w:rPr>
          <w:rFonts w:hint="default" w:ascii="仿宋_GB2312" w:hAnsi="仿宋_GB2312" w:eastAsia="仿宋_GB2312" w:cs="仿宋_GB2312"/>
          <w:sz w:val="34"/>
          <w:szCs w:val="34"/>
        </w:rPr>
        <w:t>1-7月</w:t>
      </w:r>
      <w:r>
        <w:rPr>
          <w:rFonts w:hint="eastAsia" w:ascii="仿宋_GB2312" w:hAnsi="仿宋_GB2312" w:eastAsia="仿宋_GB2312" w:cs="仿宋_GB2312"/>
          <w:sz w:val="34"/>
          <w:szCs w:val="34"/>
        </w:rPr>
        <w:t>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高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个百分点，比全市低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个百分点。（最终反馈数据仅有增速，无增加值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总量</w:t>
      </w:r>
      <w:r>
        <w:rPr>
          <w:rFonts w:hint="eastAsia" w:ascii="仿宋_GB2312" w:hAnsi="仿宋_GB2312" w:eastAsia="仿宋_GB2312" w:cs="仿宋_GB2312"/>
          <w:sz w:val="34"/>
          <w:szCs w:val="34"/>
        </w:rPr>
        <w:t>。）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社会消费品零售总额。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</w:rPr>
        <w:t>南岗区实现（全口径）社会消费品零售总额同比增长17.0%，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增幅位列九区第六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比1-7月份低2.8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个</w:t>
      </w:r>
      <w:r>
        <w:rPr>
          <w:rFonts w:hint="eastAsia" w:ascii="仿宋_GB2312" w:hAnsi="仿宋_GB2312" w:eastAsia="仿宋_GB2312" w:cs="仿宋_GB2312"/>
          <w:sz w:val="34"/>
          <w:szCs w:val="34"/>
        </w:rPr>
        <w:t>百分点，比全市低1.1个百分点。南岗区184户区属限额以上贸易业单位（法人+产业活动单位）实现零售额同比增长14.8%；其中，批发零售业单位实现零售额同比增长14.4%，住宿餐饮业单位实现零售额同比增长70.1%。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（五）服务业。</w:t>
      </w:r>
      <w:r>
        <w:rPr>
          <w:rFonts w:hint="default" w:ascii="仿宋_GB2312" w:hAnsi="仿宋_GB2312" w:eastAsia="仿宋_GB2312" w:cs="仿宋_GB2312"/>
          <w:sz w:val="34"/>
          <w:szCs w:val="34"/>
        </w:rPr>
        <w:t>1-7月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南岗区属规模以上服务业15</w:t>
      </w:r>
      <w:r>
        <w:rPr>
          <w:rFonts w:hint="default"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户企业共实现营业收入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亿元，同比增长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%，比1-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高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个百分点。其中，纳入GDP核算的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96户</w:t>
      </w:r>
      <w:r>
        <w:rPr>
          <w:rFonts w:hint="eastAsia" w:ascii="仿宋_GB2312" w:hAnsi="仿宋_GB2312" w:eastAsia="仿宋_GB2312" w:cs="仿宋_GB2312"/>
          <w:sz w:val="34"/>
          <w:szCs w:val="34"/>
        </w:rPr>
        <w:t>其他营利性服务业（包含互联网和相关服务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软件和信息技术服务业，租赁和商务服务业，科学研究和技术服务业，居民服务、修理和其他服务业，文化体育和娱乐业</w:t>
      </w:r>
      <w:r>
        <w:rPr>
          <w:rFonts w:hint="default" w:ascii="仿宋_GB2312" w:hAnsi="仿宋_GB2312" w:eastAsia="仿宋_GB2312" w:cs="仿宋_GB2312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</w:rPr>
        <w:t>共实现营业收入同比增长1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%，比1-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月低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个百分点；占南岗区属规模以上服务业总营业收入的7.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（六）科技孵化器及产业园情况。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截止2021年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月底，南岗区共有孵化器64个，在孵企业1658个（含虚拟孵化）在孵企业1-8月实现总收入63513万元，同比增长12%；净利润503</w:t>
      </w:r>
      <w:r>
        <w:rPr>
          <w:rFonts w:hint="default" w:ascii="仿宋_GB2312" w:hAnsi="仿宋_GB2312" w:eastAsia="仿宋_GB2312" w:cs="仿宋_GB2312"/>
          <w:sz w:val="34"/>
          <w:szCs w:val="34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万元，同比增长13%；实缴税金2973万元，同比增长27%</w:t>
      </w:r>
      <w:r>
        <w:rPr>
          <w:rFonts w:hint="default" w:ascii="仿宋_GB2312" w:hAnsi="仿宋_GB2312" w:eastAsia="仿宋_GB2312" w:cs="仿宋_GB2312"/>
          <w:sz w:val="34"/>
          <w:szCs w:val="34"/>
        </w:rPr>
        <w:t>。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南岗高科技产业园总户数35户，其中孵化园9户，工业小区11户，购地建厂12户，云入住3户。2021年1-8月总营业收入48362万元,纳税3805万元。</w:t>
      </w:r>
    </w:p>
    <w:p>
      <w:pPr>
        <w:spacing w:line="60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（科技企业情况由工科局提供。）</w:t>
      </w:r>
    </w:p>
    <w:p>
      <w:p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二、现阶段经济运行情况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color w:val="FF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（一）固投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增速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Hans"/>
        </w:rPr>
        <w:t>明显</w:t>
      </w:r>
      <w:r>
        <w:rPr>
          <w:rFonts w:hint="default" w:ascii="仿宋_GB2312" w:hAnsi="仿宋_GB2312" w:eastAsia="仿宋_GB2312" w:cs="仿宋_GB2312"/>
          <w:b/>
          <w:bCs/>
          <w:sz w:val="34"/>
          <w:szCs w:val="34"/>
          <w:lang w:eastAsia="zh-Hans"/>
        </w:rPr>
        <w:t>下降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今年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月以来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固定资产投资增速在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20%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上下持续波动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而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，全区固定资产投资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不含农户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同比增长9.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%，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达到今年以来的最低值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。其中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月当月比上月环比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下降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%。主要原因是：去年同期完成投资基数较大，凸显今年增速放缓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同时在库房地产项目增长乏力。鲁商、林大、巴黎九区、爱达等项目接近尾声，产生投资较少，拉动作用不明显，恒大桃花源小镇4个项目全部停工，8月份完成投资为零，在库项目中，仅中海云麓公馆、金地、凯盛源等项目投资保持小幅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（二）规上工业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受经开区影响较大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，南岗区规模以上工业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实现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增加值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同比增长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3%，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增速略有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回升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，比</w:t>
      </w:r>
      <w:r>
        <w:rPr>
          <w:rFonts w:hint="default" w:ascii="仿宋_GB2312" w:hAnsi="仿宋_GB2312" w:eastAsia="仿宋_GB2312" w:cs="仿宋_GB2312"/>
          <w:sz w:val="34"/>
          <w:szCs w:val="34"/>
          <w:lang w:eastAsia="zh-CN"/>
        </w:rPr>
        <w:t>1-7月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高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个百分点。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从区级平台掌握的数据来看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今年以来，规上工业增加值累计增速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虽有波动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但区属工业一直保持正增长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而经开区企业从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月以来一直呈现负增长态势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每个月都影响南岗区规上工业增加值累计增速下降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个百分点左右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且经开区企业增加值占南岗区比重和区属占比不相上下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经开区负增长对南岗区整体规上工业影响很大且数据不可控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对南岗区工业运行造成较大困难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（三）贸易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Hans"/>
        </w:rPr>
        <w:t>增幅持续下降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从4月开始，社零额累计增速连续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个月下降，在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累计增速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达到1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%，比一季度低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个百分点。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主要原因是去年下半年疫情影响缓解</w:t>
      </w:r>
      <w:r>
        <w:rPr>
          <w:rFonts w:hint="eastAsia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开展的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促销活动及发放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政府优惠券大幅促进了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消费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贸易形势逐月好转</w:t>
      </w:r>
      <w:r>
        <w:rPr>
          <w:rFonts w:hint="eastAsia" w:ascii="仿宋_GB2312" w:hAnsi="仿宋_GB2312" w:eastAsia="仿宋_GB2312" w:cs="仿宋_GB2312"/>
          <w:sz w:val="34"/>
          <w:szCs w:val="34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今年贸易运行的后劲不足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导致增速逐月放缓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，通讯类企业受华为影响下降较大，由于华为手机关键部件芯片生产商不再供货，导致新款5G手机研发和生产量下降，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而国产手机品牌无接替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缺少消费刺激点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消费者普遍持观望态度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，导致我区通讯类企业整体销售受到影响，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例如黑龙江省凌志数码产品连锁销售有限公司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、哈尔滨乐进达通讯有限公司、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黑龙江华滨航母通信设备销售有限公司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Hans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Hans"/>
        </w:rPr>
        <w:t>1-8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Hans"/>
        </w:rPr>
        <w:t>月均受到不同程度的影响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Hans"/>
        </w:rPr>
        <w:t>且此影响预计将持续到今年年底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。同时，由于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限下样本良莠不齐，对我区社零额产生了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个月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影响，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此影响预计将在三季度有所缓解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服务业发展水平不均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营利性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服务业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分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个行业小类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小类中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数量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规模差别很大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分布不均，数据代表性不强，一定程度上无法反映区属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服务业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的经济状况。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例如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南岗区属规上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营利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服务业总计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96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户，娱乐业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2户，其中一户企业暂停营业，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因此无法客观反映行业发展情况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具有比较优势产业发展方向的软件和信息技术服务业、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Hans"/>
        </w:rPr>
        <w:t>业仍存在短板，产业规模和层次需进一步提高。</w:t>
      </w:r>
    </w:p>
    <w:p>
      <w:p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三、下一步工作建议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在抓好经济运行监测分析、把关数据审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核</w:t>
      </w:r>
      <w:r>
        <w:rPr>
          <w:rFonts w:hint="default" w:ascii="仿宋_GB2312" w:hAnsi="仿宋_GB2312" w:eastAsia="仿宋_GB2312" w:cs="仿宋_GB2312"/>
          <w:sz w:val="34"/>
          <w:szCs w:val="34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保证报表质量等统计日常工作的同时，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4"/>
          <w:szCs w:val="34"/>
        </w:rPr>
        <w:t>重点关注以下几点：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稳定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固投增长。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一是在项目源头上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积极排查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掌握在南岗区的招、拍、挂地块，及时推送给相关办事处，做到信息共享，并对辖区进行拉网式排查，做到应统尽统。二是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加强对重点项目的监测，特别是中海云麓公馆、金地、凯盛源等持续增长的项目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加强跟踪调度，加大综合协调力度，确保开工项目完成建设目标，进一步加快项目建设的步伐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促进固投加速增长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。 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（二）培育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区属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工业力量。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由于区属工业企业增加值占比不足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导致全区规上工业增速受经开区影响较大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区工科局应细致排查符合条件的工业企业，加大入库企业申报力度和服务水平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同时，应对我区临规企业及新建投产企业进行动态监测，指导达规企业及时升规入统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Hans"/>
        </w:rPr>
        <w:t>力图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培育一批竞争力强的龙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头企业，并带动其他相关企业共同持续健康发展。针对难入统的企业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行业主管部门要多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沟通，指导企业尽快入统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提振消费信心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今年以来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，南岗区社零额增速受到限上和限下企业的双重影响，导致增长乏力。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应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着力提升居民消费能力和消费意愿，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寻找新的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消费刺激点，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大力组织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开展宣传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活动和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多种形式的促销活动，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增加促销手段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例如发行政府消费券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、延长销售时间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等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提升居民消费倾向和能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力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刺激消费欲望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带动整体商贸业销售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优化行业结构</w:t>
      </w:r>
      <w:r>
        <w:rPr>
          <w:rFonts w:hint="default" w:ascii="仿宋_GB2312" w:hAnsi="仿宋_GB2312" w:eastAsia="仿宋_GB2312" w:cs="仿宋_GB2312"/>
          <w:b/>
          <w:bCs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针对规上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营利性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服务业行业分布不均，数据代表性差等问题，应加大对服务业特别是文化、体育和娱乐业等行业的招商引资力度，增强全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服务业发展动能。同时，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抓住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月底开始的年度入统机会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加大规上企业入统工作力度，促进全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规上企业数量不断增加、规模不断壮大、结构不断优化、质量不断提升，为全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区服务业经济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发展提供坚实支撑。</w:t>
      </w:r>
    </w:p>
    <w:p>
      <w:pPr>
        <w:numPr>
          <w:ilvl w:val="0"/>
          <w:numId w:val="0"/>
        </w:numPr>
        <w:spacing w:line="600" w:lineRule="exact"/>
        <w:ind w:firstLine="683" w:firstLineChars="200"/>
        <w:rPr>
          <w:rFonts w:hint="default" w:ascii="仿宋_GB2312" w:hAnsi="仿宋_GB2312" w:eastAsia="仿宋_GB2312" w:cs="仿宋_GB2312"/>
          <w:sz w:val="34"/>
          <w:szCs w:val="34"/>
          <w:lang w:eastAsia="zh-Hans"/>
        </w:rPr>
      </w:pPr>
      <w:r>
        <w:rPr>
          <w:rFonts w:hint="default" w:ascii="仿宋_GB2312" w:hAnsi="仿宋_GB2312" w:eastAsia="仿宋_GB2312" w:cs="仿宋_GB2312"/>
          <w:b/>
          <w:bCs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b/>
          <w:bCs/>
          <w:sz w:val="34"/>
          <w:szCs w:val="34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Hans"/>
        </w:rPr>
        <w:t>加大培训和执法力度</w:t>
      </w:r>
      <w:r>
        <w:rPr>
          <w:rFonts w:hint="default" w:ascii="仿宋_GB2312" w:hAnsi="仿宋_GB2312" w:eastAsia="仿宋_GB2312" w:cs="仿宋_GB2312"/>
          <w:b/>
          <w:bCs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通过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月份的国家统计督察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反映出全市存在基层统计人员不会统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不懂统的普遍现象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导致无法应统尽统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我区今年以来对街道和企业统计员进行了不同形式的培训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已初显效果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但由于基层统计人员多为政府雇员，无正式编制，人员更换比较频繁，导致培训知识衔接不到位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新接手的统计员需要一定时间接收培训内容和知识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下一步应继续加大对基层统计人员的培训力度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一是区统计局采用远程指导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线下会议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一对一教学等多种方式对街道和社区统计员进行培训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确保基层统计人员业务熟练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知法懂法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二是由街道和社区统计员对企业统计员进行有针对性地培训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特别是对平时报表拖沓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马虎的调查对象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要大力普及统计法和报表制度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保证报表质量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三是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建立良好的沟通机制，发现问题及时研究和处理，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做好企业服务和管理工作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。</w:t>
      </w:r>
    </w:p>
    <w:p>
      <w:pPr>
        <w:numPr>
          <w:ilvl w:val="0"/>
          <w:numId w:val="0"/>
        </w:num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同时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由于我区仅有一个持证的统计执法人员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执法力量薄弱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此前无法对不配合统计工作的调查单位进行执法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经过不懈沟通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现已得到道外区统计局同意联合执法的回复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下一步将对辖区内不配合工作的单位进行执法检查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起到威慑作用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保证在库单位统计数据的质量和时效</w:t>
      </w:r>
      <w:r>
        <w:rPr>
          <w:rFonts w:hint="default" w:ascii="仿宋_GB2312" w:hAnsi="仿宋_GB2312" w:eastAsia="仿宋_GB2312" w:cs="仿宋_GB2312"/>
          <w:sz w:val="34"/>
          <w:szCs w:val="34"/>
          <w:lang w:eastAsia="zh-Hans"/>
        </w:rPr>
        <w:t>。</w:t>
      </w:r>
    </w:p>
    <w:sectPr>
      <w:footerReference r:id="rId3" w:type="default"/>
      <w:pgSz w:w="11906" w:h="16838"/>
      <w:pgMar w:top="1701" w:right="1418" w:bottom="1701" w:left="141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Y5YWYwOWNjNDYwMmE4YzI1Y2MwNzRiYTI1YTkifQ=="/>
  </w:docVars>
  <w:rsids>
    <w:rsidRoot w:val="00000000"/>
    <w:rsid w:val="03D8458F"/>
    <w:rsid w:val="04A750B9"/>
    <w:rsid w:val="08D5242B"/>
    <w:rsid w:val="1D676C60"/>
    <w:rsid w:val="1F1A5528"/>
    <w:rsid w:val="2016227E"/>
    <w:rsid w:val="23EB1312"/>
    <w:rsid w:val="25EF42C3"/>
    <w:rsid w:val="463C04B4"/>
    <w:rsid w:val="482E032B"/>
    <w:rsid w:val="4F141929"/>
    <w:rsid w:val="5DED0F09"/>
    <w:rsid w:val="5E74C46B"/>
    <w:rsid w:val="60A67FEA"/>
    <w:rsid w:val="6EFFAEDD"/>
    <w:rsid w:val="73FA6307"/>
    <w:rsid w:val="77EF07A9"/>
    <w:rsid w:val="7DE5D8C8"/>
    <w:rsid w:val="7FFFD7E1"/>
    <w:rsid w:val="8DD12C32"/>
    <w:rsid w:val="ADDFC7D5"/>
    <w:rsid w:val="B5FE9E63"/>
    <w:rsid w:val="B75EC242"/>
    <w:rsid w:val="B77F0B05"/>
    <w:rsid w:val="BDBD010C"/>
    <w:rsid w:val="BF6FFB17"/>
    <w:rsid w:val="D7550FE2"/>
    <w:rsid w:val="E779CFFF"/>
    <w:rsid w:val="E7DAB94E"/>
    <w:rsid w:val="F37E8944"/>
    <w:rsid w:val="F79FE070"/>
    <w:rsid w:val="FD5F8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1402</Words>
  <Characters>1620</Characters>
  <Paragraphs>56</Paragraphs>
  <TotalTime>6</TotalTime>
  <ScaleCrop>false</ScaleCrop>
  <LinksUpToDate>false</LinksUpToDate>
  <CharactersWithSpaces>1624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2021-08-15T01:49:00Z</dcterms:created>
  <dc:creator>王欣然</dc:creator>
  <cp:lastModifiedBy>孙一玮</cp:lastModifiedBy>
  <cp:lastPrinted>2021-08-15T01:29:00Z</cp:lastPrinted>
  <dcterms:modified xsi:type="dcterms:W3CDTF">2023-10-23T01:57:27Z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1207920757_stopsync</vt:lpwstr>
  </property>
  <property fmtid="{D5CDD505-2E9C-101B-9397-08002B2CF9AE}" pid="4" name="ICV">
    <vt:lpwstr>116DF360B6514685AD071E32055192E2_13</vt:lpwstr>
  </property>
</Properties>
</file>