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015F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eastAsia="仿宋_GB2312"/>
          <w:b/>
          <w:bCs/>
          <w:sz w:val="36"/>
          <w:szCs w:val="36"/>
        </w:rPr>
        <w:t xml:space="preserve">               </w:t>
      </w:r>
    </w:p>
    <w:p w14:paraId="5F7A86BA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9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05889319">
      <w:pPr>
        <w:jc w:val="center"/>
        <w:rPr>
          <w:rFonts w:eastAsia="仿宋_GB2312"/>
          <w:b/>
          <w:bCs/>
          <w:sz w:val="36"/>
          <w:szCs w:val="36"/>
        </w:rPr>
      </w:pPr>
    </w:p>
    <w:p w14:paraId="09DF7B06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  <w:bookmarkStart w:id="0" w:name="_GoBack"/>
      <w:bookmarkEnd w:id="0"/>
    </w:p>
    <w:p w14:paraId="3FA96A1A">
      <w:pPr>
        <w:jc w:val="center"/>
        <w:rPr>
          <w:rFonts w:eastAsia="仿宋_GB2312"/>
          <w:b/>
          <w:bCs/>
          <w:sz w:val="36"/>
          <w:szCs w:val="36"/>
        </w:rPr>
      </w:pPr>
    </w:p>
    <w:p w14:paraId="74C2B937">
      <w:pPr>
        <w:jc w:val="center"/>
        <w:rPr>
          <w:rFonts w:eastAsia="仿宋_GB2312"/>
          <w:b/>
          <w:bCs/>
          <w:sz w:val="36"/>
          <w:szCs w:val="36"/>
        </w:rPr>
      </w:pPr>
    </w:p>
    <w:p w14:paraId="5484DFDE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62"/>
          <w:szCs w:val="62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522F3BB4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17957DD3">
      <w:pPr>
        <w:rPr>
          <w:rFonts w:eastAsia="仿宋_GB2312"/>
          <w:b/>
          <w:bCs/>
          <w:sz w:val="36"/>
          <w:szCs w:val="36"/>
        </w:rPr>
      </w:pPr>
    </w:p>
    <w:p w14:paraId="1F4A86F2">
      <w:pPr>
        <w:rPr>
          <w:rFonts w:eastAsia="仿宋_GB2312"/>
          <w:b/>
          <w:bCs/>
          <w:sz w:val="36"/>
          <w:szCs w:val="36"/>
        </w:rPr>
      </w:pPr>
    </w:p>
    <w:p w14:paraId="19FA68F2">
      <w:pPr>
        <w:rPr>
          <w:rFonts w:eastAsia="仿宋_GB2312"/>
          <w:b/>
          <w:bCs/>
          <w:sz w:val="36"/>
          <w:szCs w:val="36"/>
        </w:rPr>
      </w:pPr>
    </w:p>
    <w:p w14:paraId="31A85708">
      <w:pPr>
        <w:rPr>
          <w:rFonts w:eastAsia="仿宋_GB2312"/>
          <w:b/>
          <w:bCs/>
          <w:sz w:val="36"/>
          <w:szCs w:val="36"/>
        </w:rPr>
      </w:pPr>
    </w:p>
    <w:p w14:paraId="7602A9E9">
      <w:pPr>
        <w:rPr>
          <w:rFonts w:eastAsia="仿宋_GB2312"/>
          <w:b/>
          <w:bCs/>
          <w:sz w:val="36"/>
          <w:szCs w:val="36"/>
        </w:rPr>
      </w:pPr>
    </w:p>
    <w:p w14:paraId="11D0456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</w:rPr>
        <w:t>申请人：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哈尔滨市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南岗区圣德兰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老年公寓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</w:p>
    <w:p w14:paraId="48937F2F">
      <w:pPr>
        <w:rPr>
          <w:rFonts w:ascii="宋体" w:hAnsi="宋体" w:cs="宋体"/>
          <w:sz w:val="28"/>
          <w:szCs w:val="28"/>
        </w:rPr>
      </w:pPr>
    </w:p>
    <w:p w14:paraId="15740496">
      <w:pPr>
        <w:rPr>
          <w:rFonts w:ascii="宋体" w:hAnsi="宋体" w:eastAsia="仿宋_GB2312" w:cs="宋体"/>
          <w:sz w:val="28"/>
          <w:szCs w:val="28"/>
        </w:rPr>
      </w:pPr>
      <w:r>
        <w:rPr>
          <w:rFonts w:hint="eastAsia" w:eastAsia="仿宋_GB2312"/>
          <w:b/>
          <w:bCs/>
          <w:sz w:val="36"/>
          <w:szCs w:val="36"/>
        </w:rPr>
        <w:t>申请人最高管理者代表：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仿宋_GB2312" w:cs="宋体"/>
          <w:sz w:val="30"/>
          <w:szCs w:val="30"/>
          <w:u w:val="single"/>
          <w:lang w:val="en-US" w:eastAsia="zh-CN"/>
        </w:rPr>
        <w:t>韦丽华</w:t>
      </w:r>
      <w:r>
        <w:rPr>
          <w:rFonts w:hint="eastAsia" w:ascii="宋体" w:hAnsi="宋体" w:eastAsia="仿宋_GB2312" w:cs="宋体"/>
          <w:sz w:val="30"/>
          <w:szCs w:val="30"/>
          <w:u w:val="single"/>
        </w:rPr>
        <w:t xml:space="preserve"> </w:t>
      </w:r>
    </w:p>
    <w:p w14:paraId="2EDA207F">
      <w:pPr>
        <w:rPr>
          <w:rFonts w:eastAsia="仿宋_GB2312"/>
          <w:b/>
          <w:bCs/>
          <w:sz w:val="36"/>
          <w:szCs w:val="36"/>
        </w:rPr>
      </w:pPr>
    </w:p>
    <w:p w14:paraId="6EC86827">
      <w:pPr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申请受理日期：</w:t>
      </w:r>
      <w:r>
        <w:rPr>
          <w:rFonts w:hint="eastAsia" w:eastAsia="仿宋_GB2312"/>
          <w:b/>
          <w:bCs/>
          <w:sz w:val="36"/>
          <w:szCs w:val="36"/>
          <w:u w:val="single"/>
        </w:rPr>
        <w:t>2</w:t>
      </w:r>
      <w:r>
        <w:rPr>
          <w:rFonts w:eastAsia="仿宋_GB2312"/>
          <w:b/>
          <w:bCs/>
          <w:sz w:val="36"/>
          <w:szCs w:val="36"/>
          <w:u w:val="single"/>
        </w:rPr>
        <w:t>02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36"/>
          <w:szCs w:val="36"/>
          <w:u w:val="single"/>
        </w:rPr>
        <w:t>年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9</w:t>
      </w:r>
      <w:r>
        <w:rPr>
          <w:rFonts w:hint="eastAsia" w:eastAsia="仿宋_GB2312"/>
          <w:b/>
          <w:bCs/>
          <w:sz w:val="36"/>
          <w:szCs w:val="36"/>
          <w:u w:val="single"/>
        </w:rPr>
        <w:t>月</w:t>
      </w:r>
      <w:r>
        <w:rPr>
          <w:rFonts w:hint="eastAsia" w:eastAsia="仿宋_GB2312"/>
          <w:b/>
          <w:bCs/>
          <w:sz w:val="36"/>
          <w:szCs w:val="36"/>
          <w:u w:val="single"/>
          <w:lang w:val="en-US" w:eastAsia="zh-CN"/>
        </w:rPr>
        <w:t>14</w:t>
      </w:r>
      <w:r>
        <w:rPr>
          <w:rFonts w:hint="eastAsia" w:eastAsia="仿宋_GB2312"/>
          <w:b/>
          <w:bCs/>
          <w:sz w:val="36"/>
          <w:szCs w:val="36"/>
          <w:u w:val="single"/>
        </w:rPr>
        <w:t>日</w:t>
      </w:r>
    </w:p>
    <w:p w14:paraId="4F11966C">
      <w:pPr>
        <w:rPr>
          <w:rFonts w:eastAsia="仿宋_GB2312"/>
          <w:b/>
          <w:bCs/>
          <w:sz w:val="36"/>
          <w:szCs w:val="36"/>
          <w:u w:val="single"/>
        </w:rPr>
      </w:pPr>
    </w:p>
    <w:p w14:paraId="655A81AA">
      <w:pPr>
        <w:rPr>
          <w:rFonts w:eastAsia="仿宋_GB2312"/>
          <w:b/>
          <w:bCs/>
          <w:sz w:val="36"/>
          <w:szCs w:val="36"/>
        </w:rPr>
      </w:pPr>
    </w:p>
    <w:p w14:paraId="0F9D6230">
      <w:pPr>
        <w:rPr>
          <w:rFonts w:eastAsia="仿宋_GB2312"/>
          <w:b/>
          <w:bCs/>
          <w:sz w:val="36"/>
          <w:szCs w:val="36"/>
        </w:rPr>
      </w:pPr>
    </w:p>
    <w:p w14:paraId="47D0DFD5">
      <w:pPr>
        <w:rPr>
          <w:rFonts w:eastAsia="仿宋_GB2312"/>
          <w:b/>
          <w:bCs/>
          <w:sz w:val="36"/>
          <w:szCs w:val="36"/>
        </w:rPr>
      </w:pPr>
    </w:p>
    <w:p w14:paraId="2D2C5F67">
      <w:pPr>
        <w:rPr>
          <w:rFonts w:eastAsia="仿宋_GB2312"/>
          <w:b/>
          <w:bCs/>
          <w:sz w:val="36"/>
          <w:szCs w:val="36"/>
        </w:rPr>
      </w:pPr>
    </w:p>
    <w:p w14:paraId="6ED8959C">
      <w:pPr>
        <w:rPr>
          <w:rFonts w:eastAsia="仿宋_GB2312"/>
          <w:b/>
          <w:bCs/>
          <w:sz w:val="36"/>
          <w:szCs w:val="36"/>
        </w:rPr>
      </w:pPr>
    </w:p>
    <w:p w14:paraId="3F462E11">
      <w:pPr>
        <w:ind w:firstLine="2168" w:firstLineChars="6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黑龙江兴企企业管理咨询有限公司</w:t>
      </w:r>
    </w:p>
    <w:p w14:paraId="6F3FFBF1">
      <w:pPr>
        <w:ind w:firstLine="3253" w:firstLineChars="900"/>
        <w:rPr>
          <w:rFonts w:eastAsia="仿宋_GB2312"/>
          <w:b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z w:val="36"/>
          <w:szCs w:val="36"/>
        </w:rPr>
        <w:t>哈尔滨市信用协会</w:t>
      </w:r>
    </w:p>
    <w:p w14:paraId="74D81A10">
      <w:pPr>
        <w:rPr>
          <w:rFonts w:eastAsia="仿宋_GB2312"/>
          <w:b/>
          <w:bCs/>
          <w:sz w:val="36"/>
          <w:szCs w:val="36"/>
        </w:rPr>
      </w:pPr>
    </w:p>
    <w:p w14:paraId="02B66B81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联合签发</w:t>
      </w:r>
    </w:p>
    <w:p w14:paraId="581673BA">
      <w:pPr>
        <w:jc w:val="right"/>
        <w:rPr>
          <w:rFonts w:eastAsia="仿宋_GB2312"/>
          <w:b/>
          <w:bCs/>
          <w:sz w:val="36"/>
          <w:szCs w:val="36"/>
        </w:rPr>
      </w:pPr>
    </w:p>
    <w:p w14:paraId="5B4500AC">
      <w:pPr>
        <w:jc w:val="right"/>
        <w:rPr>
          <w:rFonts w:hint="eastAsia" w:eastAsia="仿宋_GB2312"/>
          <w:b/>
          <w:bCs/>
          <w:sz w:val="36"/>
          <w:szCs w:val="36"/>
        </w:rPr>
      </w:pPr>
    </w:p>
    <w:p w14:paraId="5EAD03B2">
      <w:pPr>
        <w:jc w:val="right"/>
        <w:rPr>
          <w:rFonts w:eastAsia="仿宋_GB2312"/>
          <w:b/>
          <w:bCs/>
          <w:sz w:val="36"/>
          <w:szCs w:val="36"/>
        </w:rPr>
      </w:pPr>
    </w:p>
    <w:p w14:paraId="0BED9C24">
      <w:pPr>
        <w:jc w:val="right"/>
        <w:rPr>
          <w:rFonts w:eastAsia="仿宋_GB2312"/>
          <w:b/>
          <w:bCs/>
          <w:sz w:val="36"/>
          <w:szCs w:val="36"/>
        </w:rPr>
      </w:pPr>
    </w:p>
    <w:p w14:paraId="188F43A3">
      <w:pPr>
        <w:jc w:val="right"/>
        <w:rPr>
          <w:rFonts w:eastAsia="仿宋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 xml:space="preserve">     </w:t>
      </w:r>
      <w:r>
        <w:rPr>
          <w:rFonts w:hint="eastAsia" w:eastAsia="仿宋_GB2312"/>
          <w:b/>
          <w:bCs/>
          <w:sz w:val="26"/>
          <w:szCs w:val="26"/>
        </w:rPr>
        <w:t>报告编号：</w:t>
      </w:r>
      <w:r>
        <w:rPr>
          <w:rFonts w:hint="eastAsia" w:eastAsia="仿宋_GB2312"/>
          <w:b/>
          <w:bCs/>
          <w:sz w:val="26"/>
          <w:szCs w:val="26"/>
          <w:u w:val="single"/>
        </w:rPr>
        <w:t>XQZX 2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4</w:t>
      </w:r>
      <w:r>
        <w:rPr>
          <w:rFonts w:hint="eastAsia" w:eastAsia="仿宋_GB2312"/>
          <w:b/>
          <w:bCs/>
          <w:sz w:val="26"/>
          <w:szCs w:val="26"/>
          <w:u w:val="single"/>
        </w:rPr>
        <w:t xml:space="preserve"> </w:t>
      </w:r>
      <w:r>
        <w:rPr>
          <w:rFonts w:eastAsia="仿宋_GB2312"/>
          <w:b/>
          <w:bCs/>
          <w:sz w:val="26"/>
          <w:szCs w:val="26"/>
          <w:u w:val="single"/>
        </w:rPr>
        <w:t>XYFJ000</w:t>
      </w:r>
      <w:r>
        <w:rPr>
          <w:rFonts w:hint="eastAsia" w:eastAsia="仿宋_GB2312"/>
          <w:b/>
          <w:bCs/>
          <w:sz w:val="26"/>
          <w:szCs w:val="26"/>
          <w:u w:val="single"/>
          <w:lang w:val="en-US" w:eastAsia="zh-CN"/>
        </w:rPr>
        <w:t>9</w:t>
      </w:r>
      <w:r>
        <w:rPr>
          <w:rFonts w:eastAsia="仿宋_GB2312"/>
          <w:b/>
          <w:bCs/>
          <w:sz w:val="26"/>
          <w:szCs w:val="26"/>
          <w:u w:val="single"/>
        </w:rPr>
        <w:t xml:space="preserve"> R0</w:t>
      </w:r>
    </w:p>
    <w:p w14:paraId="5D224FA6">
      <w:pPr>
        <w:jc w:val="center"/>
        <w:rPr>
          <w:rFonts w:eastAsia="仿宋_GB2312"/>
          <w:b/>
          <w:bCs/>
          <w:sz w:val="36"/>
          <w:szCs w:val="36"/>
        </w:rPr>
      </w:pPr>
    </w:p>
    <w:p w14:paraId="2876A91B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企业信用等级</w:t>
      </w:r>
    </w:p>
    <w:p w14:paraId="655DFF7D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56"/>
          <w:szCs w:val="56"/>
        </w:rPr>
        <w:t>评 价 报 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 w14:paraId="07A92439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 xml:space="preserve">                     </w:t>
      </w:r>
    </w:p>
    <w:p w14:paraId="06846951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1、申请人基本信息：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6934"/>
      </w:tblGrid>
      <w:tr w14:paraId="0F8B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1479" w:type="pct"/>
            <w:vAlign w:val="center"/>
          </w:tcPr>
          <w:p w14:paraId="51E35AA9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申请人名称</w:t>
            </w:r>
          </w:p>
        </w:tc>
        <w:tc>
          <w:tcPr>
            <w:tcW w:w="3520" w:type="pct"/>
            <w:vAlign w:val="center"/>
          </w:tcPr>
          <w:p w14:paraId="4203C26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哈尔滨市南岗区圣德兰老年公寓</w:t>
            </w:r>
          </w:p>
        </w:tc>
      </w:tr>
      <w:tr w14:paraId="5C2D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60F898FE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统一社会信用代码</w:t>
            </w:r>
          </w:p>
        </w:tc>
        <w:tc>
          <w:tcPr>
            <w:tcW w:w="3520" w:type="pct"/>
            <w:vAlign w:val="center"/>
          </w:tcPr>
          <w:p w14:paraId="59BFBFE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  <w:t>522301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03MJY656393H</w:t>
            </w:r>
          </w:p>
        </w:tc>
      </w:tr>
      <w:tr w14:paraId="7E67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5B27BAA2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注册地址</w:t>
            </w:r>
          </w:p>
        </w:tc>
        <w:tc>
          <w:tcPr>
            <w:tcW w:w="3520" w:type="pct"/>
            <w:vAlign w:val="center"/>
          </w:tcPr>
          <w:p w14:paraId="5837F25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哈尔滨市南岗区铁路街138号</w:t>
            </w:r>
          </w:p>
        </w:tc>
      </w:tr>
      <w:tr w14:paraId="33AD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1A00A2A3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产品或服务范围</w:t>
            </w:r>
          </w:p>
        </w:tc>
        <w:tc>
          <w:tcPr>
            <w:tcW w:w="3520" w:type="pct"/>
            <w:vAlign w:val="center"/>
          </w:tcPr>
          <w:p w14:paraId="07D52A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eastAsia="zh-CN"/>
              </w:rPr>
              <w:t>为老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eastAsia="zh-CN"/>
              </w:rPr>
              <w:t>人提供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集中居住和照料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eastAsia="zh-CN"/>
              </w:rPr>
              <w:t>服务</w:t>
            </w:r>
          </w:p>
        </w:tc>
      </w:tr>
      <w:tr w14:paraId="420B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241ACE95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联系人</w:t>
            </w:r>
          </w:p>
        </w:tc>
        <w:tc>
          <w:tcPr>
            <w:tcW w:w="3520" w:type="pct"/>
            <w:vAlign w:val="center"/>
          </w:tcPr>
          <w:p w14:paraId="7C89E7C9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  <w:t>韦丽华</w:t>
            </w:r>
          </w:p>
        </w:tc>
      </w:tr>
      <w:tr w14:paraId="787D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79" w:type="pct"/>
            <w:vAlign w:val="center"/>
          </w:tcPr>
          <w:p w14:paraId="625F8508">
            <w:pPr>
              <w:jc w:val="both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联系电话</w:t>
            </w:r>
          </w:p>
        </w:tc>
        <w:tc>
          <w:tcPr>
            <w:tcW w:w="3520" w:type="pct"/>
            <w:vAlign w:val="center"/>
          </w:tcPr>
          <w:p w14:paraId="5AD6924D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6"/>
                <w:szCs w:val="26"/>
                <w:u w:val="none"/>
                <w:lang w:val="en-US" w:eastAsia="zh-CN"/>
              </w:rPr>
              <w:t>13936020045</w:t>
            </w:r>
          </w:p>
        </w:tc>
      </w:tr>
    </w:tbl>
    <w:p w14:paraId="565CA0AF">
      <w:pPr>
        <w:ind w:left="720"/>
        <w:rPr>
          <w:rFonts w:eastAsia="仿宋_GB2312"/>
          <w:b/>
          <w:bCs/>
          <w:sz w:val="32"/>
          <w:szCs w:val="32"/>
        </w:rPr>
      </w:pPr>
    </w:p>
    <w:p w14:paraId="7A8808DB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2、评价目的：信用等级评价</w:t>
      </w:r>
    </w:p>
    <w:p w14:paraId="1D00722B">
      <w:pPr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3、评价范围：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为老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人提供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集中居住和照料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服务</w:t>
      </w:r>
    </w:p>
    <w:p w14:paraId="25A8B272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4、评价准则：</w:t>
      </w:r>
    </w:p>
    <w:p w14:paraId="1DA003E7">
      <w:pPr>
        <w:adjustRightInd/>
        <w:spacing w:line="240" w:lineRule="auto"/>
        <w:ind w:left="720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sym w:font="Wingdings 2" w:char="0052"/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哈尔滨市民政局《关于开展养老机构信用分级评价工作的通知》</w:t>
      </w:r>
    </w:p>
    <w:p w14:paraId="125E923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5、报告覆盖时间：</w:t>
      </w:r>
    </w:p>
    <w:p w14:paraId="014D41CC">
      <w:pPr>
        <w:ind w:firstLine="280" w:firstLineChars="100"/>
        <w:rPr>
          <w:rFonts w:eastAsia="仿宋_GB2312"/>
          <w:sz w:val="24"/>
          <w:szCs w:val="24"/>
        </w:rPr>
      </w:pPr>
      <w:r>
        <w:rPr>
          <w:rFonts w:hint="eastAsia" w:ascii="宋体" w:hAnsi="宋体" w:cs="宋体"/>
          <w:kern w:val="2"/>
          <w:sz w:val="28"/>
          <w:szCs w:val="28"/>
          <w:u w:val="single"/>
        </w:rPr>
        <w:t>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月01日至202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  <w:u w:val="single"/>
        </w:rPr>
        <w:t>月31日</w:t>
      </w:r>
    </w:p>
    <w:p w14:paraId="0ABBCC72">
      <w:pPr>
        <w:rPr>
          <w:rFonts w:ascii="宋体" w:hAnsi="宋体" w:cs="宋体"/>
          <w:kern w:val="2"/>
          <w:szCs w:val="21"/>
        </w:rPr>
      </w:pPr>
    </w:p>
    <w:p w14:paraId="2FB190D6">
      <w:pPr>
        <w:jc w:val="center"/>
        <w:rPr>
          <w:rFonts w:eastAsia="仿宋_GB2312"/>
          <w:b/>
          <w:bCs/>
          <w:sz w:val="32"/>
          <w:szCs w:val="32"/>
        </w:rPr>
      </w:pPr>
    </w:p>
    <w:p w14:paraId="78CA1EF3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84E1DCD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97E509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2FC9E49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15015A3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DEB5631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6B671A2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9BE71BC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5D6105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9511CD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F045AE4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6B7204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13D617E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F9669BD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6、总评分换算为：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88.25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 ，各条款评分明细如下：</w:t>
      </w:r>
    </w:p>
    <w:p w14:paraId="714C027F">
      <w:pPr>
        <w:rPr>
          <w:b/>
          <w:bCs/>
          <w:sz w:val="28"/>
          <w:szCs w:val="28"/>
        </w:rPr>
      </w:pPr>
    </w:p>
    <w:p w14:paraId="5695335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 A.1 机构信用评价基本指标项名称及说明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30CC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29295B9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6C13C0A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34D4AE9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7290EF2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74D0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6CEC648E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价值观</w:t>
            </w:r>
          </w:p>
          <w:p w14:paraId="6CF95C1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Align w:val="center"/>
          </w:tcPr>
          <w:p w14:paraId="28901FA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发展规划</w:t>
            </w:r>
          </w:p>
        </w:tc>
        <w:tc>
          <w:tcPr>
            <w:tcW w:w="5085" w:type="dxa"/>
            <w:vAlign w:val="center"/>
          </w:tcPr>
          <w:p w14:paraId="42FDF35F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一定时期内对机构发展方向、速度和能力的选择、计划和策划，包括战略目标、业务规划、职能划分等</w:t>
            </w:r>
          </w:p>
        </w:tc>
        <w:tc>
          <w:tcPr>
            <w:tcW w:w="1200" w:type="dxa"/>
            <w:vAlign w:val="center"/>
          </w:tcPr>
          <w:p w14:paraId="722388F2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16CA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720968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4A42855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领导层品质</w:t>
            </w:r>
          </w:p>
        </w:tc>
        <w:tc>
          <w:tcPr>
            <w:tcW w:w="5085" w:type="dxa"/>
            <w:vAlign w:val="center"/>
          </w:tcPr>
          <w:p w14:paraId="4212B46D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机构领导层人员的市场行为、历史业绩和信用记录等(包括机构董事长、法定代表人、主要负责人等)</w:t>
            </w:r>
          </w:p>
        </w:tc>
        <w:tc>
          <w:tcPr>
            <w:tcW w:w="1200" w:type="dxa"/>
            <w:vAlign w:val="center"/>
          </w:tcPr>
          <w:p w14:paraId="1591736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4B45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69AACF7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4F4D48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法人治理</w:t>
            </w:r>
          </w:p>
        </w:tc>
        <w:tc>
          <w:tcPr>
            <w:tcW w:w="5085" w:type="dxa"/>
            <w:vAlign w:val="center"/>
          </w:tcPr>
          <w:p w14:paraId="466E5926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股东会、董事会、监事会、经营团队职能建设及职责履行记录情况，股权结构情</w:t>
            </w:r>
            <w:r>
              <w:rPr>
                <w:rFonts w:hint="eastAsia"/>
                <w:sz w:val="21"/>
                <w:szCs w:val="21"/>
                <w:lang w:eastAsia="zh-CN"/>
              </w:rPr>
              <w:t>况、组织结构设置情况等</w:t>
            </w:r>
          </w:p>
        </w:tc>
        <w:tc>
          <w:tcPr>
            <w:tcW w:w="1200" w:type="dxa"/>
            <w:vAlign w:val="center"/>
          </w:tcPr>
          <w:p w14:paraId="20CC038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51D9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0352C24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95A0A9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规章制度</w:t>
            </w:r>
          </w:p>
        </w:tc>
        <w:tc>
          <w:tcPr>
            <w:tcW w:w="5085" w:type="dxa"/>
            <w:vAlign w:val="center"/>
          </w:tcPr>
          <w:p w14:paraId="33BD58BA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机构财务管理、风险管理、信用管理、危机管理、重大事项信息披露制度等规章制度建设情况</w:t>
            </w:r>
          </w:p>
        </w:tc>
        <w:tc>
          <w:tcPr>
            <w:tcW w:w="1200" w:type="dxa"/>
            <w:vAlign w:val="center"/>
          </w:tcPr>
          <w:p w14:paraId="378BE88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</w:tr>
      <w:tr w14:paraId="00C5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42325B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658279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品牌建设</w:t>
            </w:r>
          </w:p>
        </w:tc>
        <w:tc>
          <w:tcPr>
            <w:tcW w:w="5085" w:type="dxa"/>
            <w:vAlign w:val="center"/>
          </w:tcPr>
          <w:p w14:paraId="71407DB3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机构品牌建设与品牌管理情况</w:t>
            </w:r>
          </w:p>
        </w:tc>
        <w:tc>
          <w:tcPr>
            <w:tcW w:w="1200" w:type="dxa"/>
            <w:vAlign w:val="center"/>
          </w:tcPr>
          <w:p w14:paraId="20CC2AB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1分</w:t>
            </w:r>
          </w:p>
        </w:tc>
      </w:tr>
      <w:tr w14:paraId="0966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restart"/>
            <w:vAlign w:val="center"/>
          </w:tcPr>
          <w:p w14:paraId="1E6D3D67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竞争力</w:t>
            </w:r>
          </w:p>
          <w:p w14:paraId="39D28C7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99096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诚信管理</w:t>
            </w:r>
          </w:p>
        </w:tc>
        <w:tc>
          <w:tcPr>
            <w:tcW w:w="5085" w:type="dxa"/>
            <w:vAlign w:val="center"/>
          </w:tcPr>
          <w:p w14:paraId="2397AB4C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机构建立和运行诚信管理体系情况</w:t>
            </w:r>
          </w:p>
        </w:tc>
        <w:tc>
          <w:tcPr>
            <w:tcW w:w="1200" w:type="dxa"/>
            <w:vAlign w:val="center"/>
          </w:tcPr>
          <w:p w14:paraId="7F7DC14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0分</w:t>
            </w:r>
          </w:p>
        </w:tc>
      </w:tr>
      <w:tr w14:paraId="3E81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1730D2C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3232FE6C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人力资源管理</w:t>
            </w:r>
          </w:p>
        </w:tc>
        <w:tc>
          <w:tcPr>
            <w:tcW w:w="5085" w:type="dxa"/>
            <w:vAlign w:val="center"/>
          </w:tcPr>
          <w:p w14:paraId="7EF490DB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机构人力资源规划、招聘、培训、薪酬、绩效、员工关系等管理制度建设与实施情况</w:t>
            </w:r>
          </w:p>
        </w:tc>
        <w:tc>
          <w:tcPr>
            <w:tcW w:w="1200" w:type="dxa"/>
            <w:vAlign w:val="center"/>
          </w:tcPr>
          <w:p w14:paraId="564FBEC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1A12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51B430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07D9E9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管理体系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11DB2E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组织质量管理、环境管理、职业健康安全管理等体系建设及运行情况</w:t>
            </w:r>
          </w:p>
        </w:tc>
        <w:tc>
          <w:tcPr>
            <w:tcW w:w="1200" w:type="dxa"/>
            <w:vAlign w:val="center"/>
          </w:tcPr>
          <w:p w14:paraId="7C06E1E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0分</w:t>
            </w:r>
          </w:p>
        </w:tc>
      </w:tr>
      <w:tr w14:paraId="1A14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725D1A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2921902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偿债能力</w:t>
            </w:r>
          </w:p>
        </w:tc>
        <w:tc>
          <w:tcPr>
            <w:tcW w:w="5085" w:type="dxa"/>
            <w:vAlign w:val="center"/>
          </w:tcPr>
          <w:p w14:paraId="34D2026C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机构用其资产偿还长期债务与短期债务能力</w:t>
            </w:r>
          </w:p>
        </w:tc>
        <w:tc>
          <w:tcPr>
            <w:tcW w:w="1200" w:type="dxa"/>
            <w:vAlign w:val="center"/>
          </w:tcPr>
          <w:p w14:paraId="0A20BE3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09AB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7229E48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199A756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盈利能力</w:t>
            </w:r>
          </w:p>
        </w:tc>
        <w:tc>
          <w:tcPr>
            <w:tcW w:w="5085" w:type="dxa"/>
            <w:vAlign w:val="center"/>
          </w:tcPr>
          <w:p w14:paraId="59D39DDE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机构资本增值能力，包括净资产收益率、主营业务利润率、总资产报酬率等</w:t>
            </w:r>
          </w:p>
        </w:tc>
        <w:tc>
          <w:tcPr>
            <w:tcW w:w="1200" w:type="dxa"/>
            <w:vAlign w:val="center"/>
          </w:tcPr>
          <w:p w14:paraId="17235A2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53B8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50F5072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4526FA7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发展能力</w:t>
            </w:r>
          </w:p>
        </w:tc>
        <w:tc>
          <w:tcPr>
            <w:tcW w:w="5085" w:type="dxa"/>
            <w:vAlign w:val="center"/>
          </w:tcPr>
          <w:p w14:paraId="56120A54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机构发展壮大的潜在能力，包括资本保值增值率、主营业务收入增长率、三年营业利润平均增长率等</w:t>
            </w:r>
          </w:p>
        </w:tc>
        <w:tc>
          <w:tcPr>
            <w:tcW w:w="1200" w:type="dxa"/>
            <w:vAlign w:val="center"/>
          </w:tcPr>
          <w:p w14:paraId="6571349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27DA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1253B4C5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3370883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营运能力</w:t>
            </w:r>
          </w:p>
        </w:tc>
        <w:tc>
          <w:tcPr>
            <w:tcW w:w="5085" w:type="dxa"/>
            <w:vAlign w:val="center"/>
          </w:tcPr>
          <w:p w14:paraId="666AB783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机构运用各项资产以赚取利润的能力。包括应收账款周转率(次)、存货周转率(次)、总资产周转率(次)</w:t>
            </w:r>
          </w:p>
        </w:tc>
        <w:tc>
          <w:tcPr>
            <w:tcW w:w="1200" w:type="dxa"/>
            <w:vAlign w:val="center"/>
          </w:tcPr>
          <w:p w14:paraId="72F7E98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6098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3CC80186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7EC2B17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技术水平</w:t>
            </w:r>
          </w:p>
        </w:tc>
        <w:tc>
          <w:tcPr>
            <w:tcW w:w="5085" w:type="dxa"/>
            <w:vAlign w:val="center"/>
          </w:tcPr>
          <w:p w14:paraId="602FCE43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参与编制国家、行业、地方技术标准情况，制定本单位标准情况;机构科研学术成果、论文论著、获奖情况</w:t>
            </w:r>
          </w:p>
        </w:tc>
        <w:tc>
          <w:tcPr>
            <w:tcW w:w="1200" w:type="dxa"/>
            <w:vAlign w:val="center"/>
          </w:tcPr>
          <w:p w14:paraId="608D4C5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</w:tr>
      <w:tr w14:paraId="1600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162A65AD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3387F14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市场占有率</w:t>
            </w:r>
          </w:p>
        </w:tc>
        <w:tc>
          <w:tcPr>
            <w:tcW w:w="5085" w:type="dxa"/>
            <w:vAlign w:val="center"/>
          </w:tcPr>
          <w:p w14:paraId="1CB8E796"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t>机构规模、年服务量、在岗服务人员数及主营业务收入等在同行业中所占的市场份额</w:t>
            </w:r>
          </w:p>
        </w:tc>
        <w:tc>
          <w:tcPr>
            <w:tcW w:w="1200" w:type="dxa"/>
            <w:vAlign w:val="center"/>
          </w:tcPr>
          <w:p w14:paraId="0BA4C3B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</w:tr>
      <w:tr w14:paraId="690F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08" w:type="dxa"/>
            <w:vMerge w:val="continue"/>
            <w:vAlign w:val="center"/>
          </w:tcPr>
          <w:p w14:paraId="46F3476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17A37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纳税信用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12DB353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机构纳税信用记录情况</w:t>
            </w:r>
          </w:p>
        </w:tc>
        <w:tc>
          <w:tcPr>
            <w:tcW w:w="1200" w:type="dxa"/>
            <w:vAlign w:val="center"/>
          </w:tcPr>
          <w:p w14:paraId="3C236E7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66C1E092">
      <w:pPr>
        <w:jc w:val="center"/>
        <w:rPr>
          <w:rFonts w:hint="eastAsia"/>
          <w:lang w:eastAsia="zh-CN"/>
        </w:rPr>
      </w:pPr>
    </w:p>
    <w:p w14:paraId="4469F38F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7C7357B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A.2机构信用评价基本指标项名称及说明（续）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1ACE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0B66FCF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05DCFFF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65567BF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13310FC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3A72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7E18C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社会责任（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A6FAA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融资信用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00281E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机构在银行、保险、担保等各类机构融资过程中的信用记录情况</w:t>
            </w:r>
          </w:p>
        </w:tc>
        <w:tc>
          <w:tcPr>
            <w:tcW w:w="1200" w:type="dxa"/>
            <w:vAlign w:val="center"/>
          </w:tcPr>
          <w:p w14:paraId="798099B6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F40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096428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AB69E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合同履约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813738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机构对消费者、员工及相关方等各种经济合同条款的遵守情况</w:t>
            </w:r>
          </w:p>
        </w:tc>
        <w:tc>
          <w:tcPr>
            <w:tcW w:w="1200" w:type="dxa"/>
            <w:vAlign w:val="center"/>
          </w:tcPr>
          <w:p w14:paraId="2D8B4DF7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1863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185078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F55E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工资及支付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EA1E00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机构员工工资水平及拖欠情况</w:t>
            </w:r>
          </w:p>
        </w:tc>
        <w:tc>
          <w:tcPr>
            <w:tcW w:w="1200" w:type="dxa"/>
            <w:vAlign w:val="center"/>
          </w:tcPr>
          <w:p w14:paraId="134EE0E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008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06107F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B9F9F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福利与社保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41FA7E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机构与劳动者签订劳动合同，为劳动者实施劳动保护等情况</w:t>
            </w:r>
          </w:p>
        </w:tc>
        <w:tc>
          <w:tcPr>
            <w:tcW w:w="1200" w:type="dxa"/>
            <w:vAlign w:val="center"/>
          </w:tcPr>
          <w:p w14:paraId="4B5AD54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F9A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E769C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5FC65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案件执行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850DF2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机构对司法机构或调解部门结案执行情况</w:t>
            </w:r>
          </w:p>
        </w:tc>
        <w:tc>
          <w:tcPr>
            <w:tcW w:w="1200" w:type="dxa"/>
            <w:vAlign w:val="center"/>
          </w:tcPr>
          <w:p w14:paraId="5FA88A2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2FA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1E59E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58F28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公益慈善活动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217879C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机构参与社会公益活动计划和记录、捐助证明或公益事业投入占主营业务收入比重情况</w:t>
            </w:r>
          </w:p>
        </w:tc>
        <w:tc>
          <w:tcPr>
            <w:tcW w:w="1200" w:type="dxa"/>
            <w:vAlign w:val="center"/>
          </w:tcPr>
          <w:p w14:paraId="679DB43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10702817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表B.1 机构信用评价专项指标项名称及说明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541"/>
        <w:gridCol w:w="5085"/>
        <w:gridCol w:w="1200"/>
      </w:tblGrid>
      <w:tr w14:paraId="428A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08" w:type="dxa"/>
            <w:vAlign w:val="center"/>
          </w:tcPr>
          <w:p w14:paraId="22CE36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541" w:type="dxa"/>
            <w:vAlign w:val="center"/>
          </w:tcPr>
          <w:p w14:paraId="0258D2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二级指标</w:t>
            </w:r>
          </w:p>
        </w:tc>
        <w:tc>
          <w:tcPr>
            <w:tcW w:w="5085" w:type="dxa"/>
          </w:tcPr>
          <w:p w14:paraId="264D2D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评价内容</w:t>
            </w:r>
          </w:p>
        </w:tc>
        <w:tc>
          <w:tcPr>
            <w:tcW w:w="1200" w:type="dxa"/>
            <w:vAlign w:val="center"/>
          </w:tcPr>
          <w:p w14:paraId="52894A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评价分值</w:t>
            </w:r>
          </w:p>
        </w:tc>
      </w:tr>
      <w:tr w14:paraId="732D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257F2A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服务能力（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56.5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773EE78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养老机构等级评定与划分</w:t>
            </w:r>
          </w:p>
          <w:p w14:paraId="49E77A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4238829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养老机构室内外环境</w:t>
            </w:r>
          </w:p>
        </w:tc>
        <w:tc>
          <w:tcPr>
            <w:tcW w:w="1200" w:type="dxa"/>
            <w:vAlign w:val="center"/>
          </w:tcPr>
          <w:p w14:paraId="391BEA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</w:tr>
      <w:tr w14:paraId="702F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27EF0D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5C0711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6F2F1BA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养老机构的设施设备</w:t>
            </w:r>
          </w:p>
        </w:tc>
        <w:tc>
          <w:tcPr>
            <w:tcW w:w="1200" w:type="dxa"/>
            <w:vAlign w:val="center"/>
          </w:tcPr>
          <w:p w14:paraId="2CFDCC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  <w:tr w14:paraId="4110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23ACA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70EC40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52F3AA2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养老机构的运营管理</w:t>
            </w:r>
          </w:p>
        </w:tc>
        <w:tc>
          <w:tcPr>
            <w:tcW w:w="1200" w:type="dxa"/>
            <w:vAlign w:val="center"/>
          </w:tcPr>
          <w:p w14:paraId="46ABF4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</w:tr>
      <w:tr w14:paraId="66AC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68D116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3964A42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1302D86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养老机构提供服务的内容及质量</w:t>
            </w:r>
          </w:p>
        </w:tc>
        <w:tc>
          <w:tcPr>
            <w:tcW w:w="1200" w:type="dxa"/>
            <w:vAlign w:val="center"/>
          </w:tcPr>
          <w:p w14:paraId="1C2E2B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0928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5D32FD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服务安全（20分）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0A04B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基本要求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321465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养老机构应符合消防、卫生与健康、环境保护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食品药品、建筑、设施设备标准中的强制性规定及要求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建立培训考核、服务管理、安全管理等基础性工作制度</w:t>
            </w:r>
          </w:p>
        </w:tc>
        <w:tc>
          <w:tcPr>
            <w:tcW w:w="1200" w:type="dxa"/>
            <w:vAlign w:val="center"/>
          </w:tcPr>
          <w:p w14:paraId="3A470D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1CC5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3D6420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15445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安全风险评估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45F526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老年人入住养老机构前要进行服务安全风险评估，评估范围应包括噎食、食品药品误食、压疮、烫伤、坠床、跌倒、他伤和自伤、走失、文娱活动意外等方面</w:t>
            </w:r>
          </w:p>
        </w:tc>
        <w:tc>
          <w:tcPr>
            <w:tcW w:w="1200" w:type="dxa"/>
            <w:vAlign w:val="center"/>
          </w:tcPr>
          <w:p w14:paraId="307B23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2EB2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406E40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5A62D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服务防护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362250AA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对养老服务安全风险提出针对性的预防和处置措施</w:t>
            </w:r>
          </w:p>
        </w:tc>
        <w:tc>
          <w:tcPr>
            <w:tcW w:w="1200" w:type="dxa"/>
            <w:vAlign w:val="center"/>
          </w:tcPr>
          <w:p w14:paraId="06A437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5020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750106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49D10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管理要求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5161E1E1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通过制定应急预案、评价与改进和安全教育三种方式，建立提高养老机构服务安全工作长效机制</w:t>
            </w:r>
          </w:p>
        </w:tc>
        <w:tc>
          <w:tcPr>
            <w:tcW w:w="1200" w:type="dxa"/>
            <w:vAlign w:val="center"/>
          </w:tcPr>
          <w:p w14:paraId="00C2BB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3721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shd w:val="clear" w:color="auto" w:fill="auto"/>
            <w:vAlign w:val="center"/>
          </w:tcPr>
          <w:p w14:paraId="12B0BB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服务标准（10分）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B2935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标准体系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040CFD84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开展服务标准化建设，有服务管理标准、操作规范</w:t>
            </w:r>
          </w:p>
        </w:tc>
        <w:tc>
          <w:tcPr>
            <w:tcW w:w="1200" w:type="dxa"/>
            <w:vAlign w:val="center"/>
          </w:tcPr>
          <w:p w14:paraId="608AD3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75FC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186E05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服务满意度（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06CDB2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服务对象(包括相关第三方)测评满意度</w:t>
            </w:r>
          </w:p>
        </w:tc>
        <w:tc>
          <w:tcPr>
            <w:tcW w:w="5085" w:type="dxa"/>
            <w:shd w:val="clear" w:color="auto" w:fill="auto"/>
            <w:vAlign w:val="center"/>
          </w:tcPr>
          <w:p w14:paraId="75E733C3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养老机构对服务对象进行抽样测评，当入住老年人数量在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位(含)以内时，应对每一位服务对象进行调查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当入住老年人数量大于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</w:rPr>
              <w:t>位时可进行抽样调查，抽样样本数量不低于200+5%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</w:rPr>
              <w:t>,N为入住老年人数量</w:t>
            </w:r>
          </w:p>
        </w:tc>
        <w:tc>
          <w:tcPr>
            <w:tcW w:w="1200" w:type="dxa"/>
            <w:vAlign w:val="center"/>
          </w:tcPr>
          <w:p w14:paraId="36D895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 w14:paraId="1672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8" w:type="dxa"/>
            <w:vMerge w:val="continue"/>
            <w:shd w:val="clear" w:color="auto" w:fill="auto"/>
            <w:vAlign w:val="center"/>
          </w:tcPr>
          <w:p w14:paraId="6FAF56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 w14:paraId="63C267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 w14:paraId="72AD43C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现场发放满意度测评问卷并回收计算满意度，发放比例为在院老年人数量的5%</w:t>
            </w:r>
          </w:p>
        </w:tc>
        <w:tc>
          <w:tcPr>
            <w:tcW w:w="1200" w:type="dxa"/>
            <w:vAlign w:val="center"/>
          </w:tcPr>
          <w:p w14:paraId="67C767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</w:tbl>
    <w:p w14:paraId="520368DB">
      <w:pPr>
        <w:rPr>
          <w:szCs w:val="21"/>
        </w:rPr>
      </w:pPr>
      <w:r>
        <w:rPr>
          <w:rFonts w:hint="eastAsia"/>
          <w:szCs w:val="21"/>
        </w:rPr>
        <w:t>说明：本表评价总分赋值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分，最终换算成百分比得分率：</w:t>
      </w:r>
    </w:p>
    <w:p w14:paraId="68AC2DAD">
      <w:pPr>
        <w:rPr>
          <w:szCs w:val="21"/>
        </w:rPr>
      </w:pPr>
      <w:r>
        <w:rPr>
          <w:rFonts w:hint="eastAsia"/>
          <w:szCs w:val="21"/>
        </w:rPr>
        <w:t>得分率=评价总得分/（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</w:t>
      </w:r>
    </w:p>
    <w:p w14:paraId="3063FF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200—23.5</w:t>
      </w:r>
      <w:r>
        <w:rPr>
          <w:rFonts w:hint="eastAsia"/>
          <w:szCs w:val="21"/>
        </w:rPr>
        <w:t>）/（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）=</w:t>
      </w:r>
      <w:r>
        <w:rPr>
          <w:rFonts w:hint="eastAsia"/>
          <w:szCs w:val="21"/>
          <w:lang w:val="en-US" w:eastAsia="zh-CN"/>
        </w:rPr>
        <w:t>176.5</w:t>
      </w:r>
      <w:r>
        <w:rPr>
          <w:rFonts w:hint="eastAsia"/>
          <w:szCs w:val="21"/>
        </w:rPr>
        <w:t>/</w:t>
      </w:r>
      <w:r>
        <w:rPr>
          <w:rFonts w:hint="eastAsia"/>
          <w:szCs w:val="21"/>
          <w:lang w:val="en-US" w:eastAsia="zh-CN"/>
        </w:rPr>
        <w:t>200</w:t>
      </w:r>
      <w:r>
        <w:rPr>
          <w:rFonts w:hint="eastAsia"/>
          <w:szCs w:val="21"/>
        </w:rPr>
        <w:t>=</w:t>
      </w:r>
      <w:r>
        <w:rPr>
          <w:rFonts w:hint="eastAsia"/>
          <w:szCs w:val="21"/>
          <w:lang w:val="en-US" w:eastAsia="zh-CN"/>
        </w:rPr>
        <w:t>88.25</w:t>
      </w:r>
      <w:r>
        <w:rPr>
          <w:rFonts w:hint="eastAsia"/>
          <w:szCs w:val="21"/>
        </w:rPr>
        <w:t>%</w:t>
      </w:r>
    </w:p>
    <w:p w14:paraId="6C75B3B4">
      <w:pPr>
        <w:tabs>
          <w:tab w:val="left" w:pos="2552"/>
        </w:tabs>
        <w:spacing w:line="360" w:lineRule="exac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换算得分率为：</w:t>
      </w:r>
      <w:r>
        <w:rPr>
          <w:rFonts w:hint="eastAsia" w:ascii="仿宋_GB2312" w:eastAsia="仿宋_GB2312"/>
          <w:bCs/>
          <w:u w:val="single"/>
          <w:lang w:val="en-US" w:eastAsia="zh-CN"/>
        </w:rPr>
        <w:t xml:space="preserve"> 88.25 </w:t>
      </w:r>
      <w:r>
        <w:rPr>
          <w:rFonts w:hint="eastAsia" w:ascii="仿宋_GB2312" w:eastAsia="仿宋_GB2312"/>
          <w:bCs/>
        </w:rPr>
        <w:t>分</w:t>
      </w:r>
    </w:p>
    <w:p w14:paraId="14C9B017"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7.优势及改进建议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CF7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2B7DA3E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优势或靓点</w:t>
            </w:r>
          </w:p>
        </w:tc>
      </w:tr>
      <w:tr w14:paraId="30FC6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4A1739B4">
            <w:pPr>
              <w:tabs>
                <w:tab w:val="left" w:pos="1951"/>
              </w:tabs>
              <w:spacing w:line="36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圣德兰老年公寓成立于2020年，位于南岗区铁路街138号，坐落在南岗区繁华地区，周边有医院、大型超市、银行等便民场所。公寓为四层独立小楼，提供双人间、三人间，有电梯，现有80个床位，入户老人64位。</w:t>
            </w:r>
          </w:p>
          <w:p w14:paraId="3F9E7D44">
            <w:pPr>
              <w:tabs>
                <w:tab w:val="left" w:pos="1951"/>
              </w:tabs>
              <w:spacing w:line="360" w:lineRule="exact"/>
              <w:ind w:firstLine="482" w:firstLineChars="200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全天为老人提供可口饭菜，荤素搭配，提供洗浴、洗涤、理发、可为外创面不愈合伤口和糖尿病足换药、测血糖、脉搏体温等。</w:t>
            </w:r>
          </w:p>
          <w:p w14:paraId="27A62C22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27F10CEC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77F6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51AB10D">
            <w:pPr>
              <w:tabs>
                <w:tab w:val="left" w:pos="2552"/>
              </w:tabs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改进建议/机会</w:t>
            </w:r>
          </w:p>
        </w:tc>
      </w:tr>
      <w:tr w14:paraId="7CDC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9660" w:type="dxa"/>
            <w:noWrap w:val="0"/>
            <w:vAlign w:val="top"/>
          </w:tcPr>
          <w:p w14:paraId="104EA4A8">
            <w:pPr>
              <w:snapToGrid w:val="0"/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未体现品牌建设与管理，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加强对诚信管理体系、质量管理体系、环境管理体系、职业健康安全管理体系建立与运行，按《养老机构等级划分与评定》内4.2.3.7服务卡放置于床头或便于查看的位置，4.2.3.15为有压疮风险的老年人建立翻身记录不全，4.2.3.17巡查重度、中度、轻度、能力完好老人巡查记录不全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养老机构对服务对象进行抽样测评，当入住老年人数量在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位(含)以内时，应对每一位服务对象进行调查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未达到。</w:t>
            </w:r>
          </w:p>
          <w:p w14:paraId="10891BE8">
            <w:pPr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E6B8A0E">
      <w:pPr>
        <w:rPr>
          <w:rFonts w:hint="eastAsia"/>
          <w:b/>
          <w:bCs/>
          <w:sz w:val="28"/>
          <w:szCs w:val="28"/>
        </w:rPr>
      </w:pPr>
    </w:p>
    <w:p w14:paraId="4F464578">
      <w:pPr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eastAsia="仿宋_GB2312"/>
          <w:b/>
          <w:bCs/>
          <w:sz w:val="28"/>
          <w:szCs w:val="28"/>
        </w:rPr>
        <w:t>、评价结论及推荐意见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1D788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46A50DD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评价结论</w:t>
            </w:r>
          </w:p>
        </w:tc>
      </w:tr>
      <w:tr w14:paraId="103CB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660" w:type="dxa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 w14:paraId="5D5156D1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根据评价，评价小组一致认为，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>哈尔滨市南岗区圣德兰老年公寓</w:t>
            </w: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i/>
                <w:iCs/>
                <w:sz w:val="24"/>
                <w:szCs w:val="24"/>
              </w:rPr>
              <w:t>（组织名称）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的         </w:t>
            </w:r>
          </w:p>
          <w:p w14:paraId="748B70B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评分结果为：</w:t>
            </w:r>
          </w:p>
          <w:p w14:paraId="2435C5B7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（含）分以上</w:t>
            </w:r>
          </w:p>
          <w:p w14:paraId="14D92873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0分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（含）-9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分（不含）   </w:t>
            </w:r>
          </w:p>
          <w:p w14:paraId="6B0089BC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5A273621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分（含）-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分（不含）</w:t>
            </w:r>
          </w:p>
          <w:p w14:paraId="07AB800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以下</w:t>
            </w:r>
          </w:p>
          <w:p w14:paraId="03AB9E30">
            <w:pPr>
              <w:tabs>
                <w:tab w:val="left" w:pos="2552"/>
              </w:tabs>
              <w:spacing w:line="360" w:lineRule="exact"/>
              <w:ind w:firstLine="480" w:firstLineChars="200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对应为</w:t>
            </w:r>
          </w:p>
          <w:p w14:paraId="4411EF43">
            <w:pPr>
              <w:tabs>
                <w:tab w:val="left" w:pos="2552"/>
              </w:tabs>
              <w:spacing w:line="360" w:lineRule="exact"/>
              <w:ind w:firstLine="560" w:firstLineChars="200"/>
              <w:rPr>
                <w:rFonts w:hint="eastAsia" w:ascii="仿宋_GB2312" w:eastAsia="仿宋_GB2312"/>
                <w:color w:val="FF0000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A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 xml:space="preserve">B    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/>
              </w:rPr>
              <w:t>C</w:t>
            </w:r>
          </w:p>
        </w:tc>
      </w:tr>
      <w:tr w14:paraId="1397D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shd w:val="clear" w:color="auto" w:fill="CCCCCC"/>
            <w:noWrap w:val="0"/>
            <w:vAlign w:val="top"/>
          </w:tcPr>
          <w:p w14:paraId="096AF2CE">
            <w:pPr>
              <w:tabs>
                <w:tab w:val="left" w:pos="2552"/>
              </w:tabs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推 荐 意 见</w:t>
            </w:r>
          </w:p>
        </w:tc>
      </w:tr>
      <w:tr w14:paraId="28C24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60" w:type="dxa"/>
            <w:noWrap w:val="0"/>
            <w:vAlign w:val="center"/>
          </w:tcPr>
          <w:p w14:paraId="6408938F">
            <w:pPr>
              <w:snapToGrid w:val="0"/>
              <w:spacing w:line="360" w:lineRule="exact"/>
              <w:ind w:firstLine="56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  <w:szCs w:val="24"/>
              </w:rPr>
              <w:t>推荐</w:t>
            </w:r>
          </w:p>
          <w:p w14:paraId="55EB73E5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不予推荐</w:t>
            </w:r>
          </w:p>
          <w:p w14:paraId="42FE95D2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降级</w:t>
            </w:r>
          </w:p>
          <w:p w14:paraId="1591378A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暂停</w:t>
            </w:r>
          </w:p>
          <w:p w14:paraId="50EF4B17">
            <w:pPr>
              <w:snapToGrid w:val="0"/>
              <w:spacing w:line="360" w:lineRule="exact"/>
              <w:ind w:firstLine="536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4"/>
                <w:sz w:val="24"/>
                <w:szCs w:val="24"/>
              </w:rPr>
              <w:sym w:font="Wingdings" w:char="F072"/>
            </w:r>
            <w:r>
              <w:rPr>
                <w:rFonts w:hint="eastAsia" w:ascii="仿宋_GB2312" w:eastAsia="仿宋_GB2312"/>
                <w:sz w:val="24"/>
                <w:szCs w:val="24"/>
              </w:rPr>
              <w:t>撤销</w:t>
            </w:r>
          </w:p>
          <w:p w14:paraId="4F155EEA">
            <w:pPr>
              <w:snapToGrid w:val="0"/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评价组长（签字）/日期：</w:t>
            </w:r>
          </w:p>
        </w:tc>
      </w:tr>
    </w:tbl>
    <w:p w14:paraId="5745F72D"/>
    <w:p w14:paraId="172C0696">
      <w:pPr>
        <w:rPr>
          <w:rFonts w:hint="eastAsia" w:eastAsia="仿宋_GB2312"/>
          <w:b/>
          <w:bCs/>
          <w:sz w:val="28"/>
          <w:szCs w:val="28"/>
        </w:rPr>
      </w:pPr>
    </w:p>
    <w:p w14:paraId="68AB343C">
      <w:pPr>
        <w:rPr>
          <w:rFonts w:hint="eastAsia" w:eastAsia="仿宋_GB2312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3CD12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7FEC15D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受评价方代表签字：</w:t>
            </w:r>
          </w:p>
          <w:p w14:paraId="785001D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01A2E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70486121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596CEE8E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 w14:paraId="6E487F41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7721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60" w:type="dxa"/>
            <w:shd w:val="clear" w:color="auto" w:fill="FFFFFF"/>
            <w:noWrap w:val="0"/>
            <w:vAlign w:val="top"/>
          </w:tcPr>
          <w:p w14:paraId="25B16C6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黑龙江兴企企业管理咨询有限公司审批意见：</w:t>
            </w:r>
          </w:p>
          <w:p w14:paraId="316EFBEB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同意评价组意见；</w:t>
            </w:r>
          </w:p>
          <w:p w14:paraId="1059B055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其他（请具体描述）：</w:t>
            </w:r>
          </w:p>
          <w:p w14:paraId="3212FDA7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A7B312C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7DD255F0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批准人：</w:t>
            </w:r>
          </w:p>
          <w:p w14:paraId="5FE3852D">
            <w:pPr>
              <w:spacing w:line="360" w:lineRule="exac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14:paraId="5109AB72">
            <w:pPr>
              <w:spacing w:line="360" w:lineRule="exac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3303942">
      <w:pPr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1" w:right="1134" w:bottom="851" w:left="1134" w:header="851" w:footer="567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B1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B99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B99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108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27"/>
      <w:gridCol w:w="3263"/>
      <w:gridCol w:w="1470"/>
    </w:tblGrid>
    <w:tr w14:paraId="0FA2B37D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4927" w:type="dxa"/>
          <w:vMerge w:val="restart"/>
        </w:tcPr>
        <w:p w14:paraId="239B1B9D">
          <w:pPr>
            <w:pStyle w:val="4"/>
            <w:pBdr>
              <w:bottom w:val="none" w:color="auto" w:sz="0" w:space="0"/>
            </w:pBdr>
            <w:jc w:val="both"/>
          </w:pPr>
          <w:r>
            <w:rPr>
              <w:rFonts w:hint="eastAsia"/>
            </w:rPr>
            <w:drawing>
              <wp:inline distT="0" distB="0" distL="114300" distR="114300">
                <wp:extent cx="897890" cy="561340"/>
                <wp:effectExtent l="0" t="0" r="16510" b="10160"/>
                <wp:docPr id="2" name="图片 1" descr="兴企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兴企图标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gridSpan w:val="2"/>
        </w:tcPr>
        <w:p w14:paraId="1D0A6D45">
          <w:pPr>
            <w:pStyle w:val="4"/>
            <w:pBdr>
              <w:bottom w:val="none" w:color="auto" w:sz="0" w:space="0"/>
            </w:pBdr>
            <w:jc w:val="both"/>
          </w:pPr>
        </w:p>
      </w:tc>
    </w:tr>
    <w:tr w14:paraId="3C0E4D11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4927" w:type="dxa"/>
          <w:vMerge w:val="continue"/>
        </w:tcPr>
        <w:p w14:paraId="7C482D9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5F6E61A3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文件名称：</w:t>
          </w:r>
        </w:p>
      </w:tc>
      <w:tc>
        <w:tcPr>
          <w:tcW w:w="1470" w:type="dxa"/>
          <w:vAlign w:val="bottom"/>
        </w:tcPr>
        <w:p w14:paraId="0467E961">
          <w:pPr>
            <w:pStyle w:val="4"/>
            <w:pBdr>
              <w:bottom w:val="none" w:color="auto" w:sz="0" w:space="0"/>
            </w:pBdr>
            <w:jc w:val="both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评价报告</w:t>
          </w:r>
        </w:p>
      </w:tc>
    </w:tr>
    <w:tr w14:paraId="1ED96094"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7" w:hRule="atLeast"/>
      </w:trPr>
      <w:tc>
        <w:tcPr>
          <w:tcW w:w="4927" w:type="dxa"/>
          <w:vMerge w:val="continue"/>
        </w:tcPr>
        <w:p w14:paraId="441166C3">
          <w:pPr>
            <w:pStyle w:val="4"/>
            <w:pBdr>
              <w:bottom w:val="none" w:color="auto" w:sz="0" w:space="0"/>
            </w:pBdr>
            <w:jc w:val="both"/>
          </w:pPr>
        </w:p>
      </w:tc>
      <w:tc>
        <w:tcPr>
          <w:tcW w:w="3263" w:type="dxa"/>
          <w:vAlign w:val="bottom"/>
        </w:tcPr>
        <w:p w14:paraId="433EE03C">
          <w:pPr>
            <w:pStyle w:val="4"/>
            <w:pBdr>
              <w:bottom w:val="none" w:color="auto" w:sz="0" w:space="0"/>
            </w:pBdr>
            <w:jc w:val="right"/>
            <w:rPr>
              <w:rFonts w:ascii="黑体" w:hAnsi="宋体" w:eastAsia="黑体"/>
              <w:b/>
              <w:sz w:val="21"/>
              <w:szCs w:val="21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文件编号：</w:t>
          </w:r>
        </w:p>
      </w:tc>
      <w:tc>
        <w:tcPr>
          <w:tcW w:w="1470" w:type="dxa"/>
          <w:vAlign w:val="bottom"/>
        </w:tcPr>
        <w:p w14:paraId="71E8F695">
          <w:pPr>
            <w:pStyle w:val="4"/>
            <w:pBdr>
              <w:bottom w:val="none" w:color="auto" w:sz="0" w:space="0"/>
            </w:pBdr>
            <w:jc w:val="both"/>
            <w:rPr>
              <w:rFonts w:hint="eastAsia" w:ascii="黑体" w:hAnsi="宋体" w:eastAsia="黑体"/>
              <w:b/>
              <w:sz w:val="21"/>
              <w:szCs w:val="21"/>
              <w:lang w:eastAsia="zh-CN"/>
            </w:rPr>
          </w:pPr>
          <w:r>
            <w:rPr>
              <w:rFonts w:hint="eastAsia" w:ascii="黑体" w:hAnsi="宋体" w:eastAsia="黑体"/>
              <w:b/>
              <w:sz w:val="21"/>
              <w:szCs w:val="21"/>
            </w:rPr>
            <w:t>XQZXXYFJ-</w:t>
          </w:r>
          <w:r>
            <w:rPr>
              <w:rFonts w:hint="eastAsia" w:ascii="黑体" w:hAnsi="宋体" w:eastAsia="黑体"/>
              <w:b/>
              <w:sz w:val="21"/>
              <w:szCs w:val="21"/>
              <w:lang w:val="en-US" w:eastAsia="zh-CN"/>
            </w:rPr>
            <w:t>09</w:t>
          </w:r>
        </w:p>
      </w:tc>
    </w:tr>
  </w:tbl>
  <w:p w14:paraId="5E1E0C2C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"/>
      <w:suff w:val="space"/>
      <w:lvlText w:val="表%1.%2"/>
      <w:lvlJc w:val="center"/>
      <w:pPr>
        <w:ind w:left="4395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jY5ZTE5ZjFkMjhjZDAyZjQxMTExMjI2YWJkMTUifQ=="/>
  </w:docVars>
  <w:rsids>
    <w:rsidRoot w:val="783148D8"/>
    <w:rsid w:val="00821FA3"/>
    <w:rsid w:val="00C62C12"/>
    <w:rsid w:val="00F33E84"/>
    <w:rsid w:val="07DE1475"/>
    <w:rsid w:val="29AC6981"/>
    <w:rsid w:val="2DA7452B"/>
    <w:rsid w:val="2E38483E"/>
    <w:rsid w:val="35BA4BD4"/>
    <w:rsid w:val="3DD8606D"/>
    <w:rsid w:val="41625975"/>
    <w:rsid w:val="43A526B5"/>
    <w:rsid w:val="47331720"/>
    <w:rsid w:val="650A3C8E"/>
    <w:rsid w:val="783148D8"/>
    <w:rsid w:val="788E0324"/>
    <w:rsid w:val="7A4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件_附录表标题"/>
    <w:next w:val="9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ind w:left="4111"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文件_表格"/>
    <w:basedOn w:val="9"/>
    <w:qFormat/>
    <w:uiPriority w:val="0"/>
    <w:pPr>
      <w:ind w:firstLine="0" w:firstLineChars="0"/>
      <w:jc w:val="center"/>
    </w:pPr>
    <w:rPr>
      <w:sz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2111</Words>
  <Characters>2270</Characters>
  <Lines>23</Lines>
  <Paragraphs>6</Paragraphs>
  <TotalTime>2</TotalTime>
  <ScaleCrop>false</ScaleCrop>
  <LinksUpToDate>false</LinksUpToDate>
  <CharactersWithSpaces>2653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2022-05-30T08:24:00Z</dcterms:created>
  <dc:creator>张亮</dc:creator>
  <cp:lastModifiedBy>韩金龙</cp:lastModifiedBy>
  <cp:lastPrinted>2024-09-13T02:36:00Z</cp:lastPrinted>
  <dcterms:modified xsi:type="dcterms:W3CDTF">2024-09-14T06:38:27Z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228491B76DB648C4A052F21032DE980D</vt:lpwstr>
  </property>
</Properties>
</file>